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E215" w14:textId="78112EC0" w:rsidR="00FE4F14" w:rsidRDefault="00671053" w:rsidP="00FE4F1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309EC096" wp14:editId="5674BD69">
            <wp:extent cx="1790700" cy="952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7187"/>
      </w:tblGrid>
      <w:tr w:rsidR="00BE5DEF" w14:paraId="0B2EFE28" w14:textId="77777777" w:rsidTr="0059350D">
        <w:tc>
          <w:tcPr>
            <w:tcW w:w="1914" w:type="dxa"/>
            <w:shd w:val="clear" w:color="auto" w:fill="auto"/>
          </w:tcPr>
          <w:p w14:paraId="56BEF726" w14:textId="77777777" w:rsidR="00BE5DEF" w:rsidRPr="009A5AAB" w:rsidRDefault="009A5AAB" w:rsidP="00BE5DEF">
            <w:pPr>
              <w:pStyle w:val="GACode"/>
            </w:pPr>
            <w:r w:rsidRPr="009A5AAB">
              <w:t>GV7R 22</w:t>
            </w:r>
          </w:p>
        </w:tc>
        <w:tc>
          <w:tcPr>
            <w:tcW w:w="7372" w:type="dxa"/>
            <w:shd w:val="clear" w:color="auto" w:fill="auto"/>
          </w:tcPr>
          <w:p w14:paraId="771C5D7E" w14:textId="77777777" w:rsidR="007954B4" w:rsidRPr="009A5AAB" w:rsidRDefault="007954B4" w:rsidP="007954B4">
            <w:pPr>
              <w:rPr>
                <w:rFonts w:eastAsia="Times New Roman" w:cs="Arial"/>
                <w:b/>
                <w:bCs/>
                <w:sz w:val="32"/>
                <w:szCs w:val="32"/>
                <w:lang w:eastAsia="en-GB"/>
              </w:rPr>
            </w:pPr>
            <w:r w:rsidRPr="009A5AAB">
              <w:rPr>
                <w:rFonts w:cs="Arial"/>
                <w:b/>
                <w:bCs/>
                <w:sz w:val="32"/>
                <w:szCs w:val="32"/>
              </w:rPr>
              <w:t>SVQ in Insulation and Building Treatments (Construction) at SCQF level 5</w:t>
            </w:r>
          </w:p>
          <w:p w14:paraId="163BB22C" w14:textId="77777777" w:rsidR="00BE5DEF" w:rsidRPr="00BE5DEF" w:rsidRDefault="00BE5DEF" w:rsidP="00BE5DEF">
            <w:pPr>
              <w:pStyle w:val="GATitle"/>
            </w:pPr>
          </w:p>
        </w:tc>
      </w:tr>
    </w:tbl>
    <w:p w14:paraId="24D8F28A" w14:textId="77777777" w:rsidR="00BE5DEF" w:rsidRDefault="00BE5DEF" w:rsidP="00203846"/>
    <w:p w14:paraId="31DD5FD7" w14:textId="77777777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7954B4">
        <w:rPr>
          <w:sz w:val="28"/>
          <w:szCs w:val="28"/>
        </w:rPr>
        <w:t>60</w:t>
      </w:r>
      <w:r w:rsidRPr="00DC44CE">
        <w:rPr>
          <w:sz w:val="28"/>
          <w:szCs w:val="28"/>
        </w:rPr>
        <w:tab/>
        <w:t xml:space="preserve">Maximum </w:t>
      </w:r>
      <w:r w:rsidR="007954B4">
        <w:rPr>
          <w:sz w:val="28"/>
          <w:szCs w:val="28"/>
        </w:rPr>
        <w:t>88</w:t>
      </w:r>
    </w:p>
    <w:p w14:paraId="14B28E6E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EB4806" w14:paraId="61394EF2" w14:textId="77777777" w:rsidTr="006B1378">
        <w:tc>
          <w:tcPr>
            <w:tcW w:w="9242" w:type="dxa"/>
            <w:shd w:val="clear" w:color="auto" w:fill="C6D9F1"/>
          </w:tcPr>
          <w:p w14:paraId="210EC4D7" w14:textId="77777777" w:rsidR="007804F7" w:rsidRDefault="007804F7" w:rsidP="006B1378">
            <w:pPr>
              <w:rPr>
                <w:rFonts w:cs="Arial"/>
              </w:rPr>
            </w:pPr>
          </w:p>
          <w:p w14:paraId="4EA22C65" w14:textId="77777777" w:rsidR="00FE4F14" w:rsidRDefault="00FE4F14" w:rsidP="006B1378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 w:rsidR="00C02FA8">
              <w:rPr>
                <w:rFonts w:cs="Arial"/>
              </w:rPr>
              <w:t>a</w:t>
            </w:r>
            <w:r w:rsidR="00E75E3C">
              <w:rPr>
                <w:rFonts w:cs="Arial"/>
              </w:rPr>
              <w:t xml:space="preserve">tion candidates must complete </w:t>
            </w:r>
            <w:r w:rsidR="00F9577B">
              <w:rPr>
                <w:rFonts w:cs="Arial"/>
              </w:rPr>
              <w:t>5-</w:t>
            </w:r>
            <w:r w:rsidR="00173535">
              <w:rPr>
                <w:rFonts w:cs="Arial"/>
              </w:rPr>
              <w:t>7</w:t>
            </w:r>
            <w:r w:rsidR="00FE72DF">
              <w:rPr>
                <w:rFonts w:cs="Arial"/>
              </w:rPr>
              <w:t xml:space="preserve"> </w:t>
            </w:r>
            <w:r w:rsidR="00585866">
              <w:rPr>
                <w:rFonts w:cs="Arial"/>
              </w:rPr>
              <w:t>unit</w:t>
            </w:r>
            <w:r w:rsidR="00521C03">
              <w:rPr>
                <w:rFonts w:cs="Arial"/>
              </w:rPr>
              <w:t>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3E8DF2B0" w14:textId="77777777" w:rsidR="007804F7" w:rsidRPr="006E73D0" w:rsidRDefault="007804F7" w:rsidP="006B1378">
            <w:pPr>
              <w:rPr>
                <w:rFonts w:cs="Arial"/>
              </w:rPr>
            </w:pPr>
          </w:p>
          <w:p w14:paraId="66A4152A" w14:textId="77777777" w:rsidR="00FE4F14" w:rsidRPr="000B5B06" w:rsidRDefault="007954B4" w:rsidP="000B5B06">
            <w:pPr>
              <w:pStyle w:val="bullet"/>
            </w:pPr>
            <w:r>
              <w:t>4</w:t>
            </w:r>
            <w:r w:rsidR="00521C03" w:rsidRPr="000B5B06">
              <w:t xml:space="preserve"> </w:t>
            </w:r>
            <w:r w:rsidR="00F44A27">
              <w:t>m</w:t>
            </w:r>
            <w:r w:rsidR="00521C03" w:rsidRPr="000B5B06">
              <w:t xml:space="preserve">andatory </w:t>
            </w:r>
            <w:r w:rsidR="00585866">
              <w:t>unit</w:t>
            </w:r>
            <w:r w:rsidR="00521C03" w:rsidRPr="000B5B06">
              <w:t>s</w:t>
            </w:r>
          </w:p>
          <w:p w14:paraId="3FCCD42F" w14:textId="77777777" w:rsidR="00C10F4B" w:rsidRPr="000B5B06" w:rsidRDefault="00FE72DF" w:rsidP="000B5B06">
            <w:pPr>
              <w:pStyle w:val="bullet"/>
            </w:pPr>
            <w:r>
              <w:t>1-</w:t>
            </w:r>
            <w:r w:rsidR="00173535">
              <w:t>3</w:t>
            </w:r>
            <w:r w:rsidR="007954B4">
              <w:t xml:space="preserve"> </w:t>
            </w:r>
            <w:r w:rsidR="00F44A27">
              <w:t>o</w:t>
            </w:r>
            <w:r w:rsidR="00521C03" w:rsidRPr="000B5B06">
              <w:t xml:space="preserve">ptional </w:t>
            </w:r>
            <w:r w:rsidR="00585866">
              <w:t>unit</w:t>
            </w:r>
            <w:r w:rsidR="00521C03" w:rsidRPr="000B5B06">
              <w:t>s</w:t>
            </w:r>
            <w:r w:rsidR="007954B4">
              <w:t xml:space="preserve"> </w:t>
            </w:r>
            <w:r w:rsidR="00173535">
              <w:t>depending on chosen pathway</w:t>
            </w:r>
          </w:p>
          <w:p w14:paraId="2FF4E671" w14:textId="77777777" w:rsidR="00AC7303" w:rsidRPr="00EB4806" w:rsidRDefault="00AC7303" w:rsidP="001501A4"/>
        </w:tc>
      </w:tr>
    </w:tbl>
    <w:p w14:paraId="6E968835" w14:textId="77777777" w:rsidR="005456E8" w:rsidRDefault="005456E8" w:rsidP="005456E8">
      <w:pPr>
        <w:rPr>
          <w:lang w:val="en-US"/>
        </w:rPr>
      </w:pPr>
    </w:p>
    <w:p w14:paraId="1FF4417B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880D8A2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C10F4B" w:rsidRPr="00EB4806" w14:paraId="62278C0A" w14:textId="77777777" w:rsidTr="00990D5D">
        <w:trPr>
          <w:trHeight w:val="340"/>
        </w:trPr>
        <w:tc>
          <w:tcPr>
            <w:tcW w:w="9242" w:type="dxa"/>
            <w:gridSpan w:val="5"/>
            <w:vAlign w:val="center"/>
          </w:tcPr>
          <w:p w14:paraId="0203AD9A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C13B42">
              <w:t>Ca</w:t>
            </w:r>
            <w:r w:rsidR="00521C03">
              <w:t xml:space="preserve">ndidates must complete </w:t>
            </w:r>
            <w:r w:rsidR="006D3DB4">
              <w:t xml:space="preserve">all </w:t>
            </w:r>
            <w:r w:rsidR="007954B4">
              <w:t>4</w:t>
            </w:r>
            <w:r w:rsidR="00521C03">
              <w:t xml:space="preserve">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</w:p>
        </w:tc>
      </w:tr>
      <w:tr w:rsidR="00C10F4B" w:rsidRPr="00EB4806" w14:paraId="08FB9A88" w14:textId="77777777" w:rsidTr="00990D5D">
        <w:trPr>
          <w:trHeight w:val="454"/>
        </w:trPr>
        <w:tc>
          <w:tcPr>
            <w:tcW w:w="1606" w:type="dxa"/>
            <w:vAlign w:val="center"/>
          </w:tcPr>
          <w:p w14:paraId="22344416" w14:textId="77777777" w:rsidR="00C10F4B" w:rsidRPr="00EB4806" w:rsidRDefault="00C10F4B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4A24D26A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01A8FEDC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4B45E2F0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31FE0B0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7954B4" w:rsidRPr="00EB4806" w14:paraId="40893E39" w14:textId="77777777" w:rsidTr="002110D9">
        <w:trPr>
          <w:trHeight w:val="454"/>
        </w:trPr>
        <w:tc>
          <w:tcPr>
            <w:tcW w:w="1606" w:type="dxa"/>
            <w:vAlign w:val="center"/>
          </w:tcPr>
          <w:p w14:paraId="3763F7AC" w14:textId="77777777" w:rsidR="007954B4" w:rsidRPr="007954B4" w:rsidRDefault="00DC6516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HL7R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5808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COSVR641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D684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Conform to General Workplace Health, Safety and Welfare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4DA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134C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12</w:t>
            </w:r>
          </w:p>
        </w:tc>
      </w:tr>
      <w:tr w:rsidR="007954B4" w:rsidRPr="00EB4806" w14:paraId="61C28CE3" w14:textId="77777777" w:rsidTr="002110D9">
        <w:trPr>
          <w:trHeight w:val="454"/>
        </w:trPr>
        <w:tc>
          <w:tcPr>
            <w:tcW w:w="1606" w:type="dxa"/>
            <w:vAlign w:val="center"/>
          </w:tcPr>
          <w:p w14:paraId="6C24F4F5" w14:textId="77777777" w:rsidR="007954B4" w:rsidRPr="007954B4" w:rsidRDefault="00DC6516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HL7T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C8E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COSVR642 v1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FAD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Conform to Productive Work Practices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9C63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792E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</w:tr>
      <w:tr w:rsidR="007954B4" w:rsidRPr="00EB4806" w14:paraId="7B732184" w14:textId="77777777" w:rsidTr="002110D9">
        <w:trPr>
          <w:trHeight w:val="454"/>
        </w:trPr>
        <w:tc>
          <w:tcPr>
            <w:tcW w:w="1606" w:type="dxa"/>
            <w:vAlign w:val="center"/>
          </w:tcPr>
          <w:p w14:paraId="7FA3BCA0" w14:textId="77777777" w:rsidR="007954B4" w:rsidRPr="00DC6516" w:rsidRDefault="00DC6516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HM15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3000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COSVR643 v1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3CCD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Move, Handle or Store Resources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6547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48B5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</w:tr>
      <w:tr w:rsidR="007954B4" w:rsidRPr="00EB4806" w14:paraId="64E3C72C" w14:textId="77777777" w:rsidTr="002110D9">
        <w:trPr>
          <w:trHeight w:val="454"/>
        </w:trPr>
        <w:tc>
          <w:tcPr>
            <w:tcW w:w="1606" w:type="dxa"/>
            <w:vAlign w:val="center"/>
          </w:tcPr>
          <w:p w14:paraId="0AD9B606" w14:textId="77777777" w:rsidR="007954B4" w:rsidRPr="007954B4" w:rsidRDefault="00DC6516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J5CW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B66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</w:rPr>
              <w:t>COSVR817 v1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333C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</w:rPr>
              <w:t>Insulation and Building Treatments (IBT) Building Construction, Defects and Interfaces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650" w14:textId="77777777" w:rsidR="007954B4" w:rsidRPr="007954B4" w:rsidRDefault="007954B4" w:rsidP="007954B4">
            <w:pPr>
              <w:pStyle w:val="tabletextcentred"/>
            </w:pPr>
            <w:r w:rsidRPr="007954B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BC18" w14:textId="77777777" w:rsidR="007954B4" w:rsidRPr="007954B4" w:rsidRDefault="007954B4" w:rsidP="007954B4">
            <w:pPr>
              <w:pStyle w:val="tabletextcentred"/>
            </w:pPr>
            <w:r w:rsidRPr="007954B4">
              <w:t>19</w:t>
            </w:r>
          </w:p>
        </w:tc>
      </w:tr>
    </w:tbl>
    <w:p w14:paraId="115CD6C0" w14:textId="77777777" w:rsidR="007804F7" w:rsidRDefault="007804F7"/>
    <w:p w14:paraId="31A74F94" w14:textId="77777777" w:rsidR="007804F7" w:rsidRDefault="007804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79"/>
        <w:gridCol w:w="4218"/>
        <w:gridCol w:w="969"/>
        <w:gridCol w:w="970"/>
      </w:tblGrid>
      <w:tr w:rsidR="00257355" w:rsidRPr="00EB4806" w14:paraId="1B8F29E2" w14:textId="77777777" w:rsidTr="00990D5D">
        <w:trPr>
          <w:trHeight w:val="340"/>
        </w:trPr>
        <w:tc>
          <w:tcPr>
            <w:tcW w:w="9242" w:type="dxa"/>
            <w:gridSpan w:val="5"/>
            <w:vAlign w:val="center"/>
          </w:tcPr>
          <w:p w14:paraId="7AA4B3B5" w14:textId="77777777" w:rsidR="00257355" w:rsidRPr="00EB4806" w:rsidRDefault="00C11578" w:rsidP="001501A4">
            <w:pPr>
              <w:pStyle w:val="TableheadingLeft"/>
            </w:pPr>
            <w:r>
              <w:t xml:space="preserve">Optional </w:t>
            </w:r>
            <w:r w:rsidR="00173535">
              <w:t>routes</w:t>
            </w:r>
            <w:r w:rsidR="007804F7">
              <w:t xml:space="preserve">: </w:t>
            </w:r>
            <w:r w:rsidR="00257355">
              <w:t xml:space="preserve">Candidates must complete </w:t>
            </w:r>
            <w:r w:rsidR="007954B4">
              <w:t>1</w:t>
            </w:r>
            <w:r w:rsidR="00F9577B">
              <w:t>-</w:t>
            </w:r>
            <w:r w:rsidR="00173535">
              <w:t>3</w:t>
            </w:r>
            <w:r w:rsidR="00257355">
              <w:t xml:space="preserve"> </w:t>
            </w:r>
            <w:r w:rsidR="00585866">
              <w:t>unit</w:t>
            </w:r>
            <w:r w:rsidR="00F9577B">
              <w:t>s</w:t>
            </w:r>
            <w:r w:rsidR="00257355" w:rsidRPr="00EB4806">
              <w:t xml:space="preserve"> from </w:t>
            </w:r>
            <w:r w:rsidR="007954B4">
              <w:t>one of the following</w:t>
            </w:r>
            <w:r w:rsidR="00173535">
              <w:t xml:space="preserve"> pathways</w:t>
            </w:r>
          </w:p>
        </w:tc>
      </w:tr>
      <w:tr w:rsidR="007954B4" w:rsidRPr="00EB4806" w14:paraId="4F87E5B7" w14:textId="77777777" w:rsidTr="007954B4">
        <w:trPr>
          <w:trHeight w:val="435"/>
        </w:trPr>
        <w:tc>
          <w:tcPr>
            <w:tcW w:w="9242" w:type="dxa"/>
            <w:gridSpan w:val="5"/>
            <w:vAlign w:val="center"/>
          </w:tcPr>
          <w:p w14:paraId="5E4671C8" w14:textId="77777777" w:rsidR="007954B4" w:rsidRDefault="007954B4" w:rsidP="001501A4">
            <w:pPr>
              <w:pStyle w:val="TableheadingLeft"/>
            </w:pPr>
            <w:r w:rsidRPr="007954B4">
              <w:t>Pathway 1 - Wood Preserving and Damp-proofing Optional Route (3 Units Required)</w:t>
            </w:r>
            <w:r w:rsidRPr="007954B4">
              <w:tab/>
            </w:r>
            <w:r w:rsidRPr="007954B4">
              <w:tab/>
            </w:r>
          </w:p>
        </w:tc>
      </w:tr>
      <w:tr w:rsidR="007804F7" w:rsidRPr="00EB4806" w14:paraId="0E64588C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2B847213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79" w:type="dxa"/>
            <w:vAlign w:val="center"/>
          </w:tcPr>
          <w:p w14:paraId="13191F84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18" w:type="dxa"/>
            <w:vAlign w:val="center"/>
          </w:tcPr>
          <w:p w14:paraId="45DAD1E9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76B3B201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66C0D2D0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7954B4" w:rsidRPr="00EB4806" w14:paraId="7B3C82F3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3AA5A450" w14:textId="77777777" w:rsidR="0012414D" w:rsidRPr="00DC6516" w:rsidRDefault="00DC6516" w:rsidP="0012414D">
            <w:pPr>
              <w:rPr>
                <w:rFonts w:eastAsia="Times New Roman" w:cs="Arial"/>
                <w:lang w:eastAsia="en-GB"/>
              </w:rPr>
            </w:pPr>
            <w:r w:rsidRPr="00DC6516">
              <w:rPr>
                <w:rFonts w:eastAsia="Times New Roman" w:cs="Arial"/>
                <w:lang w:eastAsia="en-GB"/>
              </w:rPr>
              <w:t>J5</w:t>
            </w:r>
            <w:r w:rsidR="00173535">
              <w:rPr>
                <w:rFonts w:eastAsia="Times New Roman" w:cs="Arial"/>
                <w:lang w:eastAsia="en-GB"/>
              </w:rPr>
              <w:t>C</w:t>
            </w:r>
            <w:r w:rsidRPr="00DC6516">
              <w:rPr>
                <w:rFonts w:eastAsia="Times New Roman" w:cs="Arial"/>
                <w:lang w:eastAsia="en-GB"/>
              </w:rPr>
              <w:t>Y 04</w:t>
            </w:r>
          </w:p>
          <w:p w14:paraId="7F9D6667" w14:textId="77777777" w:rsidR="007954B4" w:rsidRPr="008D5DDB" w:rsidRDefault="007954B4" w:rsidP="007954B4">
            <w:pPr>
              <w:pStyle w:val="tabletextleft"/>
              <w:rPr>
                <w:rFonts w:cs="Arial"/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7959" w14:textId="77777777" w:rsidR="007954B4" w:rsidRPr="00DC6516" w:rsidRDefault="007954B4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COSVR444 v3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35F5" w14:textId="77777777" w:rsidR="007954B4" w:rsidRPr="00DC6516" w:rsidRDefault="007954B4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Prepare Structure for Treatment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BDAF" w14:textId="77777777" w:rsidR="007954B4" w:rsidRPr="007954B4" w:rsidRDefault="007954B4" w:rsidP="007954B4">
            <w:pPr>
              <w:pStyle w:val="tabletextcentred"/>
            </w:pPr>
            <w:r w:rsidRPr="007954B4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DFED" w14:textId="77777777" w:rsidR="007954B4" w:rsidRPr="007954B4" w:rsidRDefault="007954B4" w:rsidP="007954B4">
            <w:pPr>
              <w:pStyle w:val="tabletextcentred"/>
            </w:pPr>
            <w:r w:rsidRPr="007954B4">
              <w:t>13</w:t>
            </w:r>
          </w:p>
        </w:tc>
      </w:tr>
      <w:tr w:rsidR="007954B4" w:rsidRPr="00EB4806" w14:paraId="6115DF3E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5B78AE38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J5D0 04</w:t>
            </w:r>
          </w:p>
          <w:p w14:paraId="3FC0839E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61B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</w:rPr>
              <w:t>COSVR445 v3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AE41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</w:rPr>
              <w:t>Apply Preservation Treatment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C24B" w14:textId="77777777" w:rsidR="007954B4" w:rsidRPr="007954B4" w:rsidRDefault="007954B4" w:rsidP="007954B4">
            <w:pPr>
              <w:pStyle w:val="tabletextcentred"/>
            </w:pPr>
            <w:r w:rsidRPr="007954B4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6014" w14:textId="77777777" w:rsidR="007954B4" w:rsidRPr="007954B4" w:rsidRDefault="007954B4" w:rsidP="007954B4">
            <w:pPr>
              <w:pStyle w:val="tabletextcentred"/>
            </w:pPr>
            <w:r w:rsidRPr="007954B4">
              <w:t>16</w:t>
            </w:r>
          </w:p>
        </w:tc>
      </w:tr>
      <w:tr w:rsidR="007954B4" w:rsidRPr="00EB4806" w14:paraId="26CED3AF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1F2230A8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J5D1 04</w:t>
            </w:r>
          </w:p>
          <w:p w14:paraId="7DB15C6B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6857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</w:rPr>
              <w:t>COSVR446 v3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A3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</w:rPr>
              <w:t>Reinstate the Structure After Building Treatments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E40" w14:textId="77777777" w:rsidR="007954B4" w:rsidRPr="007954B4" w:rsidRDefault="007954B4" w:rsidP="007954B4">
            <w:pPr>
              <w:pStyle w:val="tabletextcentred"/>
            </w:pPr>
            <w:r w:rsidRPr="007954B4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8465" w14:textId="77777777" w:rsidR="007954B4" w:rsidRPr="007954B4" w:rsidRDefault="007954B4" w:rsidP="007954B4">
            <w:pPr>
              <w:pStyle w:val="tabletextcentred"/>
            </w:pPr>
            <w:r w:rsidRPr="007954B4">
              <w:t>17</w:t>
            </w:r>
          </w:p>
        </w:tc>
      </w:tr>
      <w:tr w:rsidR="007954B4" w:rsidRPr="00EB4806" w14:paraId="5B768FC0" w14:textId="77777777" w:rsidTr="002110D9">
        <w:trPr>
          <w:trHeight w:val="454"/>
        </w:trPr>
        <w:tc>
          <w:tcPr>
            <w:tcW w:w="9242" w:type="dxa"/>
            <w:gridSpan w:val="5"/>
            <w:vAlign w:val="center"/>
          </w:tcPr>
          <w:p w14:paraId="679BB4DE" w14:textId="77777777" w:rsidR="007954B4" w:rsidRPr="007954B4" w:rsidRDefault="007954B4" w:rsidP="007954B4">
            <w:pPr>
              <w:pStyle w:val="tabletextcentred"/>
              <w:jc w:val="left"/>
              <w:rPr>
                <w:b/>
                <w:bCs/>
              </w:rPr>
            </w:pPr>
            <w:r w:rsidRPr="007954B4">
              <w:rPr>
                <w:b/>
                <w:bCs/>
              </w:rPr>
              <w:t>Pathway 2 - Wall Tie Replacement Optional Route (3 Units Required)</w:t>
            </w:r>
            <w:r w:rsidRPr="007954B4">
              <w:rPr>
                <w:b/>
                <w:bCs/>
              </w:rPr>
              <w:tab/>
            </w:r>
            <w:r w:rsidRPr="007954B4">
              <w:rPr>
                <w:b/>
                <w:bCs/>
              </w:rPr>
              <w:tab/>
            </w:r>
          </w:p>
        </w:tc>
      </w:tr>
      <w:tr w:rsidR="007954B4" w:rsidRPr="00EB4806" w14:paraId="2385B2CA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6E759030" w14:textId="77777777" w:rsidR="0012414D" w:rsidRPr="008D5DDB" w:rsidRDefault="0012414D" w:rsidP="0012414D">
            <w:pPr>
              <w:rPr>
                <w:rFonts w:eastAsia="Times New Roman" w:cs="Arial"/>
                <w:color w:val="FF0000"/>
                <w:lang w:eastAsia="en-GB"/>
              </w:rPr>
            </w:pPr>
          </w:p>
          <w:p w14:paraId="2F2980AB" w14:textId="77777777" w:rsidR="007954B4" w:rsidRPr="00173535" w:rsidRDefault="00173535" w:rsidP="00173535">
            <w:pPr>
              <w:rPr>
                <w:rFonts w:eastAsia="Times New Roman" w:cs="Arial"/>
                <w:lang w:eastAsia="en-GB"/>
              </w:rPr>
            </w:pPr>
            <w:r w:rsidRPr="00DC6516">
              <w:rPr>
                <w:rFonts w:eastAsia="Times New Roman" w:cs="Arial"/>
                <w:lang w:eastAsia="en-GB"/>
              </w:rPr>
              <w:t>J5</w:t>
            </w:r>
            <w:r>
              <w:rPr>
                <w:rFonts w:eastAsia="Times New Roman" w:cs="Arial"/>
                <w:lang w:eastAsia="en-GB"/>
              </w:rPr>
              <w:t>C</w:t>
            </w:r>
            <w:r w:rsidRPr="00DC6516">
              <w:rPr>
                <w:rFonts w:eastAsia="Times New Roman" w:cs="Arial"/>
                <w:lang w:eastAsia="en-GB"/>
              </w:rPr>
              <w:t>Y 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E414" w14:textId="77777777" w:rsidR="007954B4" w:rsidRPr="00DC6516" w:rsidRDefault="007954B4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COSVR444 v3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9CD" w14:textId="77777777" w:rsidR="007954B4" w:rsidRPr="00DC6516" w:rsidRDefault="007954B4" w:rsidP="007954B4">
            <w:pPr>
              <w:pStyle w:val="tabletextleft"/>
              <w:rPr>
                <w:rFonts w:cs="Arial"/>
              </w:rPr>
            </w:pPr>
            <w:r w:rsidRPr="00DC6516">
              <w:rPr>
                <w:rFonts w:cs="Arial"/>
              </w:rPr>
              <w:t>Prepare Structure for Treatment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4F2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232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13</w:t>
            </w:r>
          </w:p>
        </w:tc>
      </w:tr>
      <w:tr w:rsidR="007954B4" w:rsidRPr="00EB4806" w14:paraId="5330D56B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5B28B524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J5D1 04</w:t>
            </w:r>
          </w:p>
          <w:p w14:paraId="43BA040A" w14:textId="77777777" w:rsidR="007954B4" w:rsidRPr="007804F7" w:rsidRDefault="007954B4" w:rsidP="007954B4">
            <w:pPr>
              <w:pStyle w:val="tabletextleft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C4EE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COSVR446 v3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BB60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 xml:space="preserve">Reinstate the </w:t>
            </w:r>
            <w:r w:rsidR="00667D67">
              <w:rPr>
                <w:rFonts w:cs="Arial"/>
                <w:color w:val="000000"/>
              </w:rPr>
              <w:t>S</w:t>
            </w:r>
            <w:r w:rsidRPr="007954B4">
              <w:rPr>
                <w:rFonts w:cs="Arial"/>
                <w:color w:val="000000"/>
              </w:rPr>
              <w:t xml:space="preserve">tructure after </w:t>
            </w:r>
            <w:r w:rsidR="00667D67">
              <w:rPr>
                <w:rFonts w:cs="Arial"/>
                <w:color w:val="000000"/>
              </w:rPr>
              <w:t>B</w:t>
            </w:r>
            <w:r w:rsidRPr="007954B4">
              <w:rPr>
                <w:rFonts w:cs="Arial"/>
                <w:color w:val="000000"/>
              </w:rPr>
              <w:t xml:space="preserve">uilding </w:t>
            </w:r>
            <w:r w:rsidR="00667D67">
              <w:rPr>
                <w:rFonts w:cs="Arial"/>
                <w:color w:val="000000"/>
              </w:rPr>
              <w:t>T</w:t>
            </w:r>
            <w:r w:rsidRPr="007954B4">
              <w:rPr>
                <w:rFonts w:cs="Arial"/>
                <w:color w:val="000000"/>
              </w:rPr>
              <w:t>reatments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E58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0FDA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17</w:t>
            </w:r>
          </w:p>
        </w:tc>
      </w:tr>
      <w:tr w:rsidR="007954B4" w:rsidRPr="00EB4806" w14:paraId="48B53AAC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13783EB1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J5D3 04</w:t>
            </w:r>
          </w:p>
          <w:p w14:paraId="0709D775" w14:textId="77777777" w:rsidR="007954B4" w:rsidRPr="007804F7" w:rsidRDefault="007954B4" w:rsidP="007954B4">
            <w:pPr>
              <w:pStyle w:val="tabletextleft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5E1A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>COSVR447 v3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C092" w14:textId="77777777" w:rsidR="007954B4" w:rsidRPr="007954B4" w:rsidRDefault="007954B4" w:rsidP="007954B4">
            <w:pPr>
              <w:pStyle w:val="tabletextleft"/>
              <w:rPr>
                <w:rFonts w:cs="Arial"/>
              </w:rPr>
            </w:pPr>
            <w:r w:rsidRPr="007954B4">
              <w:rPr>
                <w:rFonts w:cs="Arial"/>
                <w:color w:val="000000"/>
              </w:rPr>
              <w:t xml:space="preserve">Install </w:t>
            </w:r>
            <w:r w:rsidR="00667D67">
              <w:rPr>
                <w:rFonts w:cs="Arial"/>
                <w:color w:val="000000"/>
              </w:rPr>
              <w:t>W</w:t>
            </w:r>
            <w:r w:rsidRPr="007954B4">
              <w:rPr>
                <w:rFonts w:cs="Arial"/>
                <w:color w:val="000000"/>
              </w:rPr>
              <w:t xml:space="preserve">all </w:t>
            </w:r>
            <w:r w:rsidR="00667D67">
              <w:rPr>
                <w:rFonts w:cs="Arial"/>
                <w:color w:val="000000"/>
              </w:rPr>
              <w:t>T</w:t>
            </w:r>
            <w:r w:rsidRPr="007954B4">
              <w:rPr>
                <w:rFonts w:cs="Arial"/>
                <w:color w:val="000000"/>
              </w:rPr>
              <w:t xml:space="preserve">ies in </w:t>
            </w:r>
            <w:r w:rsidR="00667D67">
              <w:rPr>
                <w:rFonts w:cs="Arial"/>
                <w:color w:val="000000"/>
              </w:rPr>
              <w:t>E</w:t>
            </w:r>
            <w:r w:rsidRPr="007954B4">
              <w:rPr>
                <w:rFonts w:cs="Arial"/>
                <w:color w:val="000000"/>
              </w:rPr>
              <w:t xml:space="preserve">xisting </w:t>
            </w:r>
            <w:r w:rsidR="00667D67">
              <w:rPr>
                <w:rFonts w:cs="Arial"/>
                <w:color w:val="000000"/>
              </w:rPr>
              <w:t>S</w:t>
            </w:r>
            <w:r w:rsidRPr="007954B4">
              <w:rPr>
                <w:rFonts w:cs="Arial"/>
                <w:color w:val="000000"/>
              </w:rPr>
              <w:t>tructures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7290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C9C3" w14:textId="77777777" w:rsidR="007954B4" w:rsidRPr="007954B4" w:rsidRDefault="007954B4" w:rsidP="007954B4">
            <w:pPr>
              <w:pStyle w:val="tabletextcentred"/>
            </w:pPr>
            <w:r w:rsidRPr="007954B4">
              <w:rPr>
                <w:color w:val="000000"/>
              </w:rPr>
              <w:t>17</w:t>
            </w:r>
          </w:p>
        </w:tc>
      </w:tr>
      <w:tr w:rsidR="00667D67" w:rsidRPr="00EB4806" w14:paraId="4963C49F" w14:textId="77777777" w:rsidTr="002110D9">
        <w:trPr>
          <w:trHeight w:val="454"/>
        </w:trPr>
        <w:tc>
          <w:tcPr>
            <w:tcW w:w="9242" w:type="dxa"/>
            <w:gridSpan w:val="5"/>
            <w:vAlign w:val="center"/>
          </w:tcPr>
          <w:p w14:paraId="6B98A3A3" w14:textId="77777777" w:rsidR="00667D67" w:rsidRPr="00667D67" w:rsidRDefault="00667D67" w:rsidP="00667D67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7D67">
              <w:rPr>
                <w:rFonts w:cs="Arial"/>
                <w:b/>
                <w:bCs/>
                <w:color w:val="000000"/>
                <w:sz w:val="24"/>
                <w:szCs w:val="24"/>
              </w:rPr>
              <w:t>Pathway 3 - Cavity Wall Insulation Optional Route (1 Unit Required)</w:t>
            </w:r>
          </w:p>
          <w:p w14:paraId="59CA852C" w14:textId="77777777" w:rsidR="00667D67" w:rsidRPr="00C02FA8" w:rsidRDefault="00667D67" w:rsidP="00667D67">
            <w:pPr>
              <w:pStyle w:val="tabletextcentred"/>
              <w:jc w:val="both"/>
            </w:pPr>
          </w:p>
        </w:tc>
      </w:tr>
      <w:tr w:rsidR="00667D67" w:rsidRPr="00EB4806" w14:paraId="547CE5C2" w14:textId="77777777" w:rsidTr="00164C45">
        <w:trPr>
          <w:trHeight w:val="454"/>
        </w:trPr>
        <w:tc>
          <w:tcPr>
            <w:tcW w:w="1606" w:type="dxa"/>
          </w:tcPr>
          <w:p w14:paraId="137AE739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J5D4 04</w:t>
            </w:r>
          </w:p>
          <w:p w14:paraId="6D0538EA" w14:textId="77777777" w:rsidR="00667D67" w:rsidRPr="00BA2D56" w:rsidRDefault="00667D67" w:rsidP="00667D67">
            <w:pPr>
              <w:pStyle w:val="tabletextleft"/>
              <w:rPr>
                <w:rFonts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6696" w14:textId="77777777" w:rsidR="00667D67" w:rsidRPr="00BA2D56" w:rsidRDefault="00667D67" w:rsidP="00667D67">
            <w:pPr>
              <w:pStyle w:val="tabletextleft"/>
              <w:rPr>
                <w:rFonts w:cs="Arial"/>
              </w:rPr>
            </w:pPr>
            <w:r w:rsidRPr="00BA2D56">
              <w:rPr>
                <w:rFonts w:cs="Arial"/>
                <w:color w:val="000000"/>
              </w:rPr>
              <w:t>COSVR450 v4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72D0" w14:textId="77777777" w:rsidR="00667D67" w:rsidRPr="00BA2D56" w:rsidRDefault="00BA2D56" w:rsidP="00667D67">
            <w:pPr>
              <w:pStyle w:val="tabletextleft"/>
              <w:rPr>
                <w:rFonts w:cs="Arial"/>
              </w:rPr>
            </w:pPr>
            <w:r w:rsidRPr="00BA2D56">
              <w:rPr>
                <w:rFonts w:cs="Arial"/>
                <w:color w:val="000000"/>
              </w:rPr>
              <w:t>I</w:t>
            </w:r>
            <w:r w:rsidR="00667D67" w:rsidRPr="00BA2D56">
              <w:rPr>
                <w:rFonts w:cs="Arial"/>
                <w:color w:val="000000"/>
              </w:rPr>
              <w:t xml:space="preserve">nstall </w:t>
            </w:r>
            <w:r w:rsidRPr="00BA2D56">
              <w:rPr>
                <w:rFonts w:cs="Arial"/>
                <w:color w:val="000000"/>
              </w:rPr>
              <w:t>C</w:t>
            </w:r>
            <w:r w:rsidR="00667D67" w:rsidRPr="00BA2D56">
              <w:rPr>
                <w:rFonts w:cs="Arial"/>
                <w:color w:val="000000"/>
              </w:rPr>
              <w:t xml:space="preserve">avity </w:t>
            </w:r>
            <w:r w:rsidRPr="00BA2D56">
              <w:rPr>
                <w:rFonts w:cs="Arial"/>
                <w:color w:val="000000"/>
              </w:rPr>
              <w:t>W</w:t>
            </w:r>
            <w:r w:rsidR="00667D67" w:rsidRPr="00BA2D56">
              <w:rPr>
                <w:rFonts w:cs="Arial"/>
                <w:color w:val="000000"/>
              </w:rPr>
              <w:t xml:space="preserve">all </w:t>
            </w:r>
            <w:r w:rsidRPr="00BA2D56">
              <w:rPr>
                <w:rFonts w:cs="Arial"/>
                <w:color w:val="000000"/>
              </w:rPr>
              <w:t>I</w:t>
            </w:r>
            <w:r w:rsidR="00667D67" w:rsidRPr="00BA2D56">
              <w:rPr>
                <w:rFonts w:cs="Arial"/>
                <w:color w:val="000000"/>
              </w:rPr>
              <w:t>nsulation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8C2C" w14:textId="77777777" w:rsidR="00667D67" w:rsidRPr="00BA2D56" w:rsidRDefault="00667D67" w:rsidP="00667D67">
            <w:pPr>
              <w:pStyle w:val="tabletextcentred"/>
            </w:pPr>
            <w:r w:rsidRPr="00BA2D56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26E" w14:textId="77777777" w:rsidR="00667D67" w:rsidRPr="00BA2D56" w:rsidRDefault="00667D67" w:rsidP="00667D67">
            <w:pPr>
              <w:pStyle w:val="tabletextcentred"/>
            </w:pPr>
            <w:r w:rsidRPr="00BA2D56">
              <w:rPr>
                <w:color w:val="000000"/>
              </w:rPr>
              <w:t>20</w:t>
            </w:r>
          </w:p>
        </w:tc>
      </w:tr>
      <w:tr w:rsidR="00667D67" w:rsidRPr="00EB4806" w14:paraId="1FFB1770" w14:textId="77777777" w:rsidTr="002110D9">
        <w:trPr>
          <w:trHeight w:val="454"/>
        </w:trPr>
        <w:tc>
          <w:tcPr>
            <w:tcW w:w="9242" w:type="dxa"/>
            <w:gridSpan w:val="5"/>
            <w:vAlign w:val="center"/>
          </w:tcPr>
          <w:p w14:paraId="56872E79" w14:textId="77777777" w:rsidR="00BA2D56" w:rsidRPr="00164C45" w:rsidRDefault="00BA2D56" w:rsidP="00164C45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C45">
              <w:rPr>
                <w:rFonts w:cs="Arial"/>
                <w:b/>
                <w:bCs/>
                <w:color w:val="000000"/>
                <w:sz w:val="24"/>
                <w:szCs w:val="24"/>
              </w:rPr>
              <w:t>Pathway 4 - Cold Roof Insulation Optional Route (1 Unit Required)</w:t>
            </w:r>
          </w:p>
          <w:p w14:paraId="1B0EC07C" w14:textId="77777777" w:rsidR="00667D67" w:rsidRPr="00C02FA8" w:rsidRDefault="00667D67" w:rsidP="00667D67">
            <w:pPr>
              <w:pStyle w:val="tabletextcentred"/>
            </w:pPr>
          </w:p>
        </w:tc>
      </w:tr>
      <w:tr w:rsidR="00BA2D56" w:rsidRPr="00EB4806" w14:paraId="74EB6056" w14:textId="77777777" w:rsidTr="00164C45">
        <w:trPr>
          <w:trHeight w:val="454"/>
        </w:trPr>
        <w:tc>
          <w:tcPr>
            <w:tcW w:w="1606" w:type="dxa"/>
            <w:vAlign w:val="center"/>
          </w:tcPr>
          <w:p w14:paraId="7EBED49D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J5D5 04</w:t>
            </w:r>
          </w:p>
          <w:p w14:paraId="79EF7C53" w14:textId="77777777" w:rsidR="00BA2D56" w:rsidRPr="007804F7" w:rsidRDefault="00BA2D56" w:rsidP="00BA2D56">
            <w:pPr>
              <w:pStyle w:val="tabletextleft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6E91" w14:textId="77777777" w:rsidR="00BA2D56" w:rsidRPr="00164C45" w:rsidRDefault="00BA2D56" w:rsidP="00BA2D56">
            <w:pPr>
              <w:pStyle w:val="tabletextleft"/>
              <w:rPr>
                <w:rFonts w:cs="Arial"/>
              </w:rPr>
            </w:pPr>
            <w:r w:rsidRPr="00164C45">
              <w:rPr>
                <w:rFonts w:cs="Arial"/>
                <w:color w:val="000000"/>
              </w:rPr>
              <w:t>COSVR451 v4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89A" w14:textId="77777777" w:rsidR="00BA2D56" w:rsidRPr="00164C45" w:rsidRDefault="00BA2D56" w:rsidP="00BA2D56">
            <w:pPr>
              <w:pStyle w:val="tabletextleft"/>
              <w:rPr>
                <w:rFonts w:cs="Arial"/>
              </w:rPr>
            </w:pPr>
            <w:r w:rsidRPr="00164C45">
              <w:rPr>
                <w:rFonts w:cs="Arial"/>
                <w:color w:val="000000"/>
              </w:rPr>
              <w:t xml:space="preserve">Install </w:t>
            </w:r>
            <w:r w:rsidR="00164C45">
              <w:rPr>
                <w:rFonts w:cs="Arial"/>
                <w:color w:val="000000"/>
              </w:rPr>
              <w:t>I</w:t>
            </w:r>
            <w:r w:rsidRPr="00164C45">
              <w:rPr>
                <w:rFonts w:cs="Arial"/>
                <w:color w:val="000000"/>
              </w:rPr>
              <w:t xml:space="preserve">nsulation to </w:t>
            </w:r>
            <w:r w:rsidR="00164C45">
              <w:rPr>
                <w:rFonts w:cs="Arial"/>
                <w:color w:val="000000"/>
              </w:rPr>
              <w:t>C</w:t>
            </w:r>
            <w:r w:rsidRPr="00164C45">
              <w:rPr>
                <w:rFonts w:cs="Arial"/>
                <w:color w:val="000000"/>
              </w:rPr>
              <w:t xml:space="preserve">old </w:t>
            </w:r>
            <w:r w:rsidR="00164C45">
              <w:rPr>
                <w:rFonts w:cs="Arial"/>
                <w:color w:val="000000"/>
              </w:rPr>
              <w:t>R</w:t>
            </w:r>
            <w:r w:rsidRPr="00164C45">
              <w:rPr>
                <w:rFonts w:cs="Arial"/>
                <w:color w:val="000000"/>
              </w:rPr>
              <w:t>oofs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2362" w14:textId="77777777" w:rsidR="00BA2D56" w:rsidRPr="00164C45" w:rsidRDefault="00BA2D56" w:rsidP="00BA2D56">
            <w:pPr>
              <w:pStyle w:val="tabletextcentred"/>
            </w:pPr>
            <w:r w:rsidRPr="00164C45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65D5" w14:textId="77777777" w:rsidR="00BA2D56" w:rsidRPr="00164C45" w:rsidRDefault="00BA2D56" w:rsidP="00BA2D56">
            <w:pPr>
              <w:pStyle w:val="tabletextcentred"/>
            </w:pPr>
            <w:r w:rsidRPr="00164C45">
              <w:rPr>
                <w:color w:val="000000"/>
              </w:rPr>
              <w:t>19</w:t>
            </w:r>
          </w:p>
        </w:tc>
      </w:tr>
      <w:tr w:rsidR="00BA2D56" w:rsidRPr="00EB4806" w14:paraId="60448F3A" w14:textId="77777777" w:rsidTr="002110D9">
        <w:trPr>
          <w:trHeight w:val="454"/>
        </w:trPr>
        <w:tc>
          <w:tcPr>
            <w:tcW w:w="9242" w:type="dxa"/>
            <w:gridSpan w:val="5"/>
            <w:vAlign w:val="center"/>
          </w:tcPr>
          <w:p w14:paraId="04DBB9C8" w14:textId="77777777" w:rsidR="00BA2D56" w:rsidRPr="00FE62E6" w:rsidRDefault="00BA2D56" w:rsidP="00164C45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E62E6">
              <w:rPr>
                <w:rFonts w:cs="Arial"/>
                <w:b/>
                <w:bCs/>
                <w:color w:val="000000"/>
                <w:sz w:val="24"/>
                <w:szCs w:val="24"/>
              </w:rPr>
              <w:t>Pathway 5 - Solid Floor Insulation Optional Route (1 Unit Required)</w:t>
            </w:r>
          </w:p>
          <w:p w14:paraId="7C72EEEA" w14:textId="77777777" w:rsidR="00BA2D56" w:rsidRPr="00C02FA8" w:rsidRDefault="00BA2D56" w:rsidP="00BA2D56">
            <w:pPr>
              <w:pStyle w:val="tabletextcentred"/>
            </w:pPr>
          </w:p>
        </w:tc>
      </w:tr>
      <w:tr w:rsidR="00BA2D56" w:rsidRPr="00EB4806" w14:paraId="7BFFB5EA" w14:textId="77777777" w:rsidTr="00781E61">
        <w:trPr>
          <w:trHeight w:val="454"/>
        </w:trPr>
        <w:tc>
          <w:tcPr>
            <w:tcW w:w="1606" w:type="dxa"/>
            <w:vAlign w:val="center"/>
          </w:tcPr>
          <w:p w14:paraId="4137869A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J5D6 04</w:t>
            </w:r>
          </w:p>
          <w:p w14:paraId="0A339651" w14:textId="77777777" w:rsidR="00BA2D56" w:rsidRPr="007804F7" w:rsidRDefault="00BA2D56" w:rsidP="00BA2D56">
            <w:pPr>
              <w:pStyle w:val="tabletextleft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6921" w14:textId="77777777" w:rsidR="00BA2D56" w:rsidRPr="00781E61" w:rsidRDefault="00BA2D56" w:rsidP="00BA2D56">
            <w:pPr>
              <w:pStyle w:val="tabletextleft"/>
              <w:rPr>
                <w:rFonts w:cs="Arial"/>
              </w:rPr>
            </w:pPr>
            <w:r w:rsidRPr="00781E61">
              <w:rPr>
                <w:rFonts w:cs="Arial"/>
                <w:color w:val="000000"/>
              </w:rPr>
              <w:t>COSVR814 v1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10AC" w14:textId="77777777" w:rsidR="00BA2D56" w:rsidRPr="00781E61" w:rsidRDefault="00BA2D56" w:rsidP="00BA2D56">
            <w:pPr>
              <w:pStyle w:val="tabletextleft"/>
              <w:rPr>
                <w:rFonts w:cs="Arial"/>
              </w:rPr>
            </w:pPr>
            <w:r w:rsidRPr="00781E61">
              <w:rPr>
                <w:rFonts w:cs="Arial"/>
                <w:color w:val="000000"/>
              </w:rPr>
              <w:t xml:space="preserve">Install </w:t>
            </w:r>
            <w:r w:rsidR="00781E61">
              <w:rPr>
                <w:rFonts w:cs="Arial"/>
                <w:color w:val="000000"/>
              </w:rPr>
              <w:t>I</w:t>
            </w:r>
            <w:r w:rsidRPr="00781E61">
              <w:rPr>
                <w:rFonts w:cs="Arial"/>
                <w:color w:val="000000"/>
              </w:rPr>
              <w:t xml:space="preserve">nsulation to </w:t>
            </w:r>
            <w:r w:rsidR="00781E61">
              <w:rPr>
                <w:rFonts w:cs="Arial"/>
                <w:color w:val="000000"/>
              </w:rPr>
              <w:t>S</w:t>
            </w:r>
            <w:r w:rsidRPr="00781E61">
              <w:rPr>
                <w:rFonts w:cs="Arial"/>
                <w:color w:val="000000"/>
              </w:rPr>
              <w:t xml:space="preserve">olid </w:t>
            </w:r>
            <w:r w:rsidR="00781E61">
              <w:rPr>
                <w:rFonts w:cs="Arial"/>
                <w:color w:val="000000"/>
              </w:rPr>
              <w:t>F</w:t>
            </w:r>
            <w:r w:rsidRPr="00781E61">
              <w:rPr>
                <w:rFonts w:cs="Arial"/>
                <w:color w:val="000000"/>
              </w:rPr>
              <w:t>loors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6FB9" w14:textId="77777777" w:rsidR="00BA2D56" w:rsidRPr="00781E61" w:rsidRDefault="00BA2D56" w:rsidP="00BA2D56">
            <w:pPr>
              <w:pStyle w:val="tabletextcentred"/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F2DD" w14:textId="77777777" w:rsidR="00BA2D56" w:rsidRPr="00781E61" w:rsidRDefault="00BA2D56" w:rsidP="00BA2D56">
            <w:pPr>
              <w:pStyle w:val="tabletextcentred"/>
            </w:pPr>
            <w:r w:rsidRPr="00781E61">
              <w:rPr>
                <w:color w:val="000000"/>
              </w:rPr>
              <w:t>20</w:t>
            </w:r>
          </w:p>
        </w:tc>
      </w:tr>
      <w:tr w:rsidR="00BA2D56" w:rsidRPr="00EB4806" w14:paraId="7154CE97" w14:textId="77777777" w:rsidTr="002110D9">
        <w:trPr>
          <w:trHeight w:val="454"/>
        </w:trPr>
        <w:tc>
          <w:tcPr>
            <w:tcW w:w="9242" w:type="dxa"/>
            <w:gridSpan w:val="5"/>
            <w:vAlign w:val="center"/>
          </w:tcPr>
          <w:p w14:paraId="1BF2C39A" w14:textId="77777777" w:rsidR="00BA2D56" w:rsidRPr="00781E61" w:rsidRDefault="00BA2D56" w:rsidP="00781E61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1E61">
              <w:rPr>
                <w:rFonts w:cs="Arial"/>
                <w:b/>
                <w:bCs/>
                <w:color w:val="000000"/>
                <w:sz w:val="24"/>
                <w:szCs w:val="24"/>
              </w:rPr>
              <w:t>Pathway 6 - Under Floor Insulation Optional Route (1 Unit Required)</w:t>
            </w:r>
          </w:p>
          <w:p w14:paraId="4B46AC82" w14:textId="77777777" w:rsidR="00BA2D56" w:rsidRPr="00C02FA8" w:rsidRDefault="00BA2D56" w:rsidP="00BA2D56">
            <w:pPr>
              <w:pStyle w:val="tabletextcentred"/>
            </w:pPr>
          </w:p>
        </w:tc>
      </w:tr>
      <w:tr w:rsidR="00BA2D56" w:rsidRPr="00EB4806" w14:paraId="3172726A" w14:textId="77777777" w:rsidTr="00781E61">
        <w:trPr>
          <w:trHeight w:val="454"/>
        </w:trPr>
        <w:tc>
          <w:tcPr>
            <w:tcW w:w="1606" w:type="dxa"/>
            <w:vAlign w:val="center"/>
          </w:tcPr>
          <w:p w14:paraId="5D866F1D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J5D7 04</w:t>
            </w:r>
          </w:p>
          <w:p w14:paraId="096199E8" w14:textId="77777777" w:rsidR="00BA2D56" w:rsidRPr="007804F7" w:rsidRDefault="00BA2D56" w:rsidP="00BA2D56">
            <w:pPr>
              <w:pStyle w:val="tabletextleft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221E" w14:textId="77777777" w:rsidR="00BA2D56" w:rsidRPr="00781E61" w:rsidRDefault="00BA2D56" w:rsidP="00BA2D56">
            <w:pPr>
              <w:pStyle w:val="tabletextleft"/>
              <w:rPr>
                <w:rFonts w:cs="Arial"/>
              </w:rPr>
            </w:pPr>
            <w:r w:rsidRPr="00781E61">
              <w:rPr>
                <w:rFonts w:cs="Arial"/>
                <w:color w:val="000000"/>
              </w:rPr>
              <w:t>COSVR749 v2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7B4B" w14:textId="77777777" w:rsidR="00BA2D56" w:rsidRPr="00781E61" w:rsidRDefault="00BA2D56" w:rsidP="00BA2D56">
            <w:pPr>
              <w:pStyle w:val="tabletextleft"/>
              <w:rPr>
                <w:rFonts w:cs="Arial"/>
                <w:color w:val="000000"/>
              </w:rPr>
            </w:pPr>
            <w:r w:rsidRPr="00781E61">
              <w:rPr>
                <w:rFonts w:cs="Arial"/>
                <w:color w:val="000000"/>
              </w:rPr>
              <w:t xml:space="preserve">Install </w:t>
            </w:r>
            <w:r w:rsidR="00781E61" w:rsidRPr="00781E61">
              <w:rPr>
                <w:rFonts w:cs="Arial"/>
                <w:color w:val="000000"/>
              </w:rPr>
              <w:t>I</w:t>
            </w:r>
            <w:r w:rsidRPr="00781E61">
              <w:rPr>
                <w:rFonts w:cs="Arial"/>
                <w:color w:val="000000"/>
              </w:rPr>
              <w:t xml:space="preserve">nsulation to </w:t>
            </w:r>
            <w:r w:rsidR="00781E61" w:rsidRPr="00781E61">
              <w:rPr>
                <w:rFonts w:cs="Arial"/>
                <w:color w:val="000000"/>
              </w:rPr>
              <w:t>S</w:t>
            </w:r>
            <w:r w:rsidRPr="00781E61">
              <w:rPr>
                <w:rFonts w:cs="Arial"/>
                <w:color w:val="000000"/>
              </w:rPr>
              <w:t xml:space="preserve">uspended </w:t>
            </w:r>
            <w:r w:rsidR="00781E61" w:rsidRPr="00781E61">
              <w:rPr>
                <w:rFonts w:cs="Arial"/>
                <w:color w:val="000000"/>
              </w:rPr>
              <w:t>F</w:t>
            </w:r>
            <w:r w:rsidRPr="00781E61">
              <w:rPr>
                <w:rFonts w:cs="Arial"/>
                <w:color w:val="000000"/>
              </w:rPr>
              <w:t>loors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AE09" w14:textId="77777777" w:rsidR="00BA2D56" w:rsidRPr="00781E61" w:rsidRDefault="00BA2D56" w:rsidP="00BA2D56">
            <w:pPr>
              <w:pStyle w:val="tabletextcentred"/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6390" w14:textId="77777777" w:rsidR="00BA2D56" w:rsidRPr="00781E61" w:rsidRDefault="00BA2D56" w:rsidP="00BA2D56">
            <w:pPr>
              <w:pStyle w:val="tabletextcentred"/>
            </w:pPr>
            <w:r w:rsidRPr="00781E61">
              <w:rPr>
                <w:color w:val="000000"/>
              </w:rPr>
              <w:t>19</w:t>
            </w:r>
          </w:p>
        </w:tc>
      </w:tr>
      <w:tr w:rsidR="00BA2D56" w:rsidRPr="00EB4806" w14:paraId="6DE2F1DD" w14:textId="77777777" w:rsidTr="00781E61">
        <w:trPr>
          <w:trHeight w:val="454"/>
        </w:trPr>
        <w:tc>
          <w:tcPr>
            <w:tcW w:w="1606" w:type="dxa"/>
            <w:vAlign w:val="center"/>
          </w:tcPr>
          <w:p w14:paraId="0E9C23F4" w14:textId="77777777" w:rsidR="0012414D" w:rsidRDefault="0012414D" w:rsidP="0012414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J5D8 04</w:t>
            </w:r>
          </w:p>
          <w:p w14:paraId="171BFA25" w14:textId="77777777" w:rsidR="00BA2D56" w:rsidRPr="007804F7" w:rsidRDefault="00BA2D56" w:rsidP="00BA2D56">
            <w:pPr>
              <w:pStyle w:val="tabletextleft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2141" w14:textId="77777777" w:rsidR="00BA2D56" w:rsidRPr="00781E61" w:rsidRDefault="00BA2D56" w:rsidP="00BA2D56">
            <w:pPr>
              <w:pStyle w:val="tabletextleft"/>
              <w:rPr>
                <w:rFonts w:cs="Arial"/>
              </w:rPr>
            </w:pPr>
            <w:r w:rsidRPr="00781E61">
              <w:rPr>
                <w:rFonts w:cs="Arial"/>
                <w:color w:val="000000"/>
              </w:rPr>
              <w:t>COSVR818 v1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7CD9" w14:textId="77777777" w:rsidR="00BA2D56" w:rsidRPr="00781E61" w:rsidRDefault="00BA2D56" w:rsidP="00BA2D56">
            <w:pPr>
              <w:pStyle w:val="tabletextleft"/>
              <w:rPr>
                <w:rFonts w:cs="Arial"/>
              </w:rPr>
            </w:pPr>
            <w:r w:rsidRPr="00781E61">
              <w:rPr>
                <w:rFonts w:cs="Arial"/>
                <w:color w:val="000000"/>
              </w:rPr>
              <w:t xml:space="preserve">Spray </w:t>
            </w:r>
            <w:r w:rsidR="00781E61" w:rsidRPr="00781E61">
              <w:rPr>
                <w:rFonts w:cs="Arial"/>
                <w:color w:val="000000"/>
              </w:rPr>
              <w:t>I</w:t>
            </w:r>
            <w:r w:rsidRPr="00781E61">
              <w:rPr>
                <w:rFonts w:cs="Arial"/>
                <w:color w:val="000000"/>
              </w:rPr>
              <w:t xml:space="preserve">nsulation to </w:t>
            </w:r>
            <w:r w:rsidR="00781E61" w:rsidRPr="00781E61">
              <w:rPr>
                <w:rFonts w:cs="Arial"/>
                <w:color w:val="000000"/>
              </w:rPr>
              <w:t>S</w:t>
            </w:r>
            <w:r w:rsidRPr="00781E61">
              <w:rPr>
                <w:rFonts w:cs="Arial"/>
                <w:color w:val="000000"/>
              </w:rPr>
              <w:t xml:space="preserve">uspended </w:t>
            </w:r>
            <w:r w:rsidR="00781E61" w:rsidRPr="00781E61">
              <w:rPr>
                <w:rFonts w:cs="Arial"/>
                <w:color w:val="000000"/>
              </w:rPr>
              <w:t>F</w:t>
            </w:r>
            <w:r w:rsidRPr="00781E61">
              <w:rPr>
                <w:rFonts w:cs="Arial"/>
                <w:color w:val="000000"/>
              </w:rPr>
              <w:t>loors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808C" w14:textId="77777777" w:rsidR="00BA2D56" w:rsidRPr="00781E61" w:rsidRDefault="00BA2D56" w:rsidP="00BA2D56">
            <w:pPr>
              <w:pStyle w:val="tabletextcentred"/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7478" w14:textId="77777777" w:rsidR="00BA2D56" w:rsidRPr="00781E61" w:rsidRDefault="00BA2D56" w:rsidP="00BA2D56">
            <w:pPr>
              <w:pStyle w:val="tabletextcentred"/>
            </w:pPr>
            <w:r w:rsidRPr="00781E61">
              <w:rPr>
                <w:color w:val="000000"/>
              </w:rPr>
              <w:t>20</w:t>
            </w:r>
          </w:p>
        </w:tc>
      </w:tr>
      <w:tr w:rsidR="00BA2D56" w:rsidRPr="00EB4806" w14:paraId="4BDF0E29" w14:textId="77777777" w:rsidTr="00781E61">
        <w:trPr>
          <w:trHeight w:val="454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3665960F" w14:textId="77777777" w:rsidR="00BA2D56" w:rsidRPr="00781E61" w:rsidRDefault="00BA2D56" w:rsidP="00781E61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1E61">
              <w:rPr>
                <w:rFonts w:cs="Arial"/>
                <w:b/>
                <w:bCs/>
                <w:color w:val="000000"/>
                <w:sz w:val="24"/>
                <w:szCs w:val="24"/>
              </w:rPr>
              <w:t>Additional Units for all Option Routes (not compulsory)</w:t>
            </w:r>
          </w:p>
          <w:p w14:paraId="723A9124" w14:textId="77777777" w:rsidR="00BA2D56" w:rsidRPr="00C02FA8" w:rsidRDefault="00BA2D56" w:rsidP="00BA2D56">
            <w:pPr>
              <w:pStyle w:val="tabletextcentred"/>
            </w:pPr>
          </w:p>
        </w:tc>
      </w:tr>
      <w:tr w:rsidR="00494FDA" w:rsidRPr="00EB4806" w14:paraId="2FAF72AC" w14:textId="77777777" w:rsidTr="00781E61">
        <w:trPr>
          <w:trHeight w:val="454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472F0CF1" w14:textId="77777777" w:rsidR="00494FDA" w:rsidRPr="007804F7" w:rsidRDefault="00494FDA" w:rsidP="00494FDA">
            <w:pPr>
              <w:pStyle w:val="tabletextleft"/>
            </w:pPr>
            <w:r w:rsidRPr="00DC6516">
              <w:t>H9YJ 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4F6A" w14:textId="77777777" w:rsidR="00494FDA" w:rsidRPr="00781E61" w:rsidRDefault="00494FDA" w:rsidP="00494FDA">
            <w:pPr>
              <w:pStyle w:val="tabletextleft"/>
              <w:rPr>
                <w:rFonts w:cs="Arial"/>
              </w:rPr>
            </w:pPr>
            <w:r w:rsidRPr="00164C45">
              <w:rPr>
                <w:rFonts w:cs="Arial"/>
                <w:color w:val="000000"/>
              </w:rPr>
              <w:t>CFACSD1 v2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9BDA" w14:textId="77777777" w:rsidR="00494FDA" w:rsidRPr="00781E61" w:rsidRDefault="00494FDA" w:rsidP="00494FDA">
            <w:pPr>
              <w:pStyle w:val="tabletextleft"/>
              <w:rPr>
                <w:rFonts w:cs="Arial"/>
              </w:rPr>
            </w:pPr>
            <w:r w:rsidRPr="00164C45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164C45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164C45">
              <w:rPr>
                <w:rFonts w:cs="Arial"/>
                <w:color w:val="000000"/>
              </w:rPr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EE43" w14:textId="77777777" w:rsidR="00494FDA" w:rsidRPr="00781E61" w:rsidRDefault="00494FDA" w:rsidP="00494FDA">
            <w:pPr>
              <w:pStyle w:val="tabletextcentred"/>
            </w:pPr>
            <w:r w:rsidRPr="00164C45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41AE" w14:textId="77777777" w:rsidR="00494FDA" w:rsidRPr="00781E61" w:rsidRDefault="00494FDA" w:rsidP="00494FDA">
            <w:pPr>
              <w:pStyle w:val="tabletextcentred"/>
            </w:pPr>
            <w:r w:rsidRPr="00164C45">
              <w:rPr>
                <w:color w:val="000000"/>
              </w:rPr>
              <w:t>6</w:t>
            </w:r>
          </w:p>
        </w:tc>
      </w:tr>
      <w:tr w:rsidR="00494FDA" w:rsidRPr="00EB4806" w14:paraId="0AE53388" w14:textId="77777777" w:rsidTr="00781E61">
        <w:trPr>
          <w:trHeight w:val="454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78CF0EBE" w14:textId="77777777" w:rsidR="00494FDA" w:rsidRPr="00DC6516" w:rsidRDefault="00494FDA" w:rsidP="00BA2D56">
            <w:pPr>
              <w:pStyle w:val="tabletextleft"/>
            </w:pPr>
            <w:r w:rsidRPr="00DC6516">
              <w:t>HL80 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7C32" w14:textId="77777777" w:rsidR="00494FDA" w:rsidRPr="00781E61" w:rsidRDefault="00494FDA" w:rsidP="00BA2D56">
            <w:pPr>
              <w:pStyle w:val="tabletextleft"/>
              <w:rPr>
                <w:rFonts w:cs="Arial"/>
                <w:color w:val="000000"/>
              </w:rPr>
            </w:pPr>
            <w:r w:rsidRPr="00781E61">
              <w:rPr>
                <w:rFonts w:cs="Arial"/>
                <w:color w:val="000000"/>
              </w:rPr>
              <w:t>COSVR250 v2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AA" w14:textId="77777777" w:rsidR="00494FDA" w:rsidRPr="00781E61" w:rsidRDefault="00494FDA" w:rsidP="00BA2D56">
            <w:pPr>
              <w:pStyle w:val="tabletextleft"/>
              <w:rPr>
                <w:rFonts w:cs="Arial"/>
                <w:color w:val="000000"/>
              </w:rPr>
            </w:pPr>
            <w:r w:rsidRPr="00781E61">
              <w:rPr>
                <w:rFonts w:cs="Arial"/>
                <w:color w:val="000000"/>
              </w:rPr>
              <w:t xml:space="preserve">Erect and </w:t>
            </w:r>
            <w:r>
              <w:rPr>
                <w:rFonts w:cs="Arial"/>
                <w:color w:val="000000"/>
              </w:rPr>
              <w:t>D</w:t>
            </w:r>
            <w:r w:rsidRPr="00781E61">
              <w:rPr>
                <w:rFonts w:cs="Arial"/>
                <w:color w:val="000000"/>
              </w:rPr>
              <w:t xml:space="preserve">ismantle </w:t>
            </w:r>
            <w:r>
              <w:rPr>
                <w:rFonts w:cs="Arial"/>
                <w:color w:val="000000"/>
              </w:rPr>
              <w:t>A</w:t>
            </w:r>
            <w:r w:rsidRPr="00781E61">
              <w:rPr>
                <w:rFonts w:cs="Arial"/>
                <w:color w:val="000000"/>
              </w:rPr>
              <w:t>ccess/</w:t>
            </w:r>
            <w:r>
              <w:rPr>
                <w:rFonts w:cs="Arial"/>
                <w:color w:val="000000"/>
              </w:rPr>
              <w:t>W</w:t>
            </w:r>
            <w:r w:rsidRPr="00781E61">
              <w:rPr>
                <w:rFonts w:cs="Arial"/>
                <w:color w:val="000000"/>
              </w:rPr>
              <w:t xml:space="preserve">orking </w:t>
            </w:r>
            <w:r>
              <w:rPr>
                <w:rFonts w:cs="Arial"/>
                <w:color w:val="000000"/>
              </w:rPr>
              <w:t>P</w:t>
            </w:r>
            <w:r w:rsidRPr="00781E61">
              <w:rPr>
                <w:rFonts w:cs="Arial"/>
                <w:color w:val="000000"/>
              </w:rPr>
              <w:t>latforms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A30F" w14:textId="77777777" w:rsidR="00494FDA" w:rsidRPr="00781E61" w:rsidRDefault="00494FDA" w:rsidP="00BA2D56">
            <w:pPr>
              <w:pStyle w:val="tabletextcentred"/>
              <w:rPr>
                <w:color w:val="000000"/>
              </w:rPr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2E1F" w14:textId="77777777" w:rsidR="00494FDA" w:rsidRPr="00781E61" w:rsidRDefault="00494FDA" w:rsidP="00BA2D56">
            <w:pPr>
              <w:pStyle w:val="tabletextcentred"/>
              <w:rPr>
                <w:color w:val="000000"/>
              </w:rPr>
            </w:pPr>
            <w:r w:rsidRPr="00781E61">
              <w:rPr>
                <w:color w:val="000000"/>
              </w:rPr>
              <w:t>11</w:t>
            </w:r>
          </w:p>
        </w:tc>
      </w:tr>
    </w:tbl>
    <w:p w14:paraId="15F69AD6" w14:textId="77777777" w:rsidR="008459BD" w:rsidRDefault="008459BD"/>
    <w:sectPr w:rsidR="008459BD" w:rsidSect="007804F7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62D6" w14:textId="77777777" w:rsidR="00772EB0" w:rsidRDefault="00772EB0">
      <w:r>
        <w:separator/>
      </w:r>
    </w:p>
  </w:endnote>
  <w:endnote w:type="continuationSeparator" w:id="0">
    <w:p w14:paraId="19138EA8" w14:textId="77777777" w:rsidR="00772EB0" w:rsidRDefault="007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0" w14:textId="77777777" w:rsidR="00380B5D" w:rsidRPr="00380B5D" w:rsidRDefault="009A5AAB" w:rsidP="00380B5D">
    <w:pPr>
      <w:rPr>
        <w:sz w:val="18"/>
        <w:szCs w:val="18"/>
      </w:rPr>
    </w:pPr>
    <w:r w:rsidRPr="009A5AAB">
      <w:rPr>
        <w:sz w:val="18"/>
        <w:szCs w:val="18"/>
      </w:rPr>
      <w:t>GV7R 22</w:t>
    </w:r>
    <w:r w:rsidR="007A4236">
      <w:rPr>
        <w:sz w:val="18"/>
        <w:szCs w:val="18"/>
      </w:rPr>
      <w:t xml:space="preserve"> </w:t>
    </w:r>
    <w:r w:rsidR="00380B5D" w:rsidRPr="00380B5D">
      <w:rPr>
        <w:sz w:val="18"/>
        <w:szCs w:val="18"/>
      </w:rPr>
      <w:t>SVQ in Insulation and Building Treatments (Construction) at SCQF level 5</w:t>
    </w:r>
  </w:p>
  <w:p w14:paraId="713DEBF6" w14:textId="77777777" w:rsidR="007A4236" w:rsidRPr="007A4236" w:rsidRDefault="007A4236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ab/>
    </w:r>
    <w:r w:rsidRPr="007A4236">
      <w:rPr>
        <w:sz w:val="18"/>
        <w:szCs w:val="18"/>
      </w:rPr>
      <w:fldChar w:fldCharType="begin"/>
    </w:r>
    <w:r w:rsidRPr="007A4236">
      <w:rPr>
        <w:sz w:val="18"/>
        <w:szCs w:val="18"/>
      </w:rPr>
      <w:instrText xml:space="preserve"> PAGE   \* MERGEFORMAT </w:instrText>
    </w:r>
    <w:r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06824" w14:textId="77777777" w:rsidR="00772EB0" w:rsidRDefault="00772EB0">
      <w:r>
        <w:separator/>
      </w:r>
    </w:p>
  </w:footnote>
  <w:footnote w:type="continuationSeparator" w:id="0">
    <w:p w14:paraId="7E206F05" w14:textId="77777777" w:rsidR="00772EB0" w:rsidRDefault="0077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51522">
    <w:abstractNumId w:val="0"/>
  </w:num>
  <w:num w:numId="2" w16cid:durableId="1321614305">
    <w:abstractNumId w:val="1"/>
  </w:num>
  <w:num w:numId="3" w16cid:durableId="152864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55528"/>
    <w:rsid w:val="00066099"/>
    <w:rsid w:val="000B5B06"/>
    <w:rsid w:val="000C630C"/>
    <w:rsid w:val="000D3B51"/>
    <w:rsid w:val="000D61F0"/>
    <w:rsid w:val="000F0E43"/>
    <w:rsid w:val="00105F91"/>
    <w:rsid w:val="0012414D"/>
    <w:rsid w:val="00147EE5"/>
    <w:rsid w:val="001501A4"/>
    <w:rsid w:val="00153B54"/>
    <w:rsid w:val="00154766"/>
    <w:rsid w:val="00164C45"/>
    <w:rsid w:val="00173535"/>
    <w:rsid w:val="00203846"/>
    <w:rsid w:val="00210189"/>
    <w:rsid w:val="002110D9"/>
    <w:rsid w:val="00233570"/>
    <w:rsid w:val="00257355"/>
    <w:rsid w:val="002850BC"/>
    <w:rsid w:val="00312E61"/>
    <w:rsid w:val="00361E17"/>
    <w:rsid w:val="0038083D"/>
    <w:rsid w:val="00380B5D"/>
    <w:rsid w:val="003E49E4"/>
    <w:rsid w:val="004157E8"/>
    <w:rsid w:val="00423084"/>
    <w:rsid w:val="00432F0F"/>
    <w:rsid w:val="004858E8"/>
    <w:rsid w:val="00494FDA"/>
    <w:rsid w:val="004C10A6"/>
    <w:rsid w:val="004F1C1F"/>
    <w:rsid w:val="00504BA8"/>
    <w:rsid w:val="00521C03"/>
    <w:rsid w:val="00541816"/>
    <w:rsid w:val="005456E8"/>
    <w:rsid w:val="0056063D"/>
    <w:rsid w:val="005660CA"/>
    <w:rsid w:val="00585866"/>
    <w:rsid w:val="0059350D"/>
    <w:rsid w:val="005B1B07"/>
    <w:rsid w:val="005D2E75"/>
    <w:rsid w:val="00616FBE"/>
    <w:rsid w:val="0063183F"/>
    <w:rsid w:val="00640D20"/>
    <w:rsid w:val="00667D67"/>
    <w:rsid w:val="00671053"/>
    <w:rsid w:val="006A20A6"/>
    <w:rsid w:val="006A5C3B"/>
    <w:rsid w:val="006B0B19"/>
    <w:rsid w:val="006B1378"/>
    <w:rsid w:val="006D3DB4"/>
    <w:rsid w:val="006E73D0"/>
    <w:rsid w:val="006F69E0"/>
    <w:rsid w:val="0076129C"/>
    <w:rsid w:val="00772EB0"/>
    <w:rsid w:val="007804F7"/>
    <w:rsid w:val="00781E61"/>
    <w:rsid w:val="007954B4"/>
    <w:rsid w:val="007A4236"/>
    <w:rsid w:val="007B253F"/>
    <w:rsid w:val="007D6D6A"/>
    <w:rsid w:val="007E22E4"/>
    <w:rsid w:val="008332FC"/>
    <w:rsid w:val="0083483C"/>
    <w:rsid w:val="008459BD"/>
    <w:rsid w:val="00880DF2"/>
    <w:rsid w:val="00890F6A"/>
    <w:rsid w:val="008A0897"/>
    <w:rsid w:val="008B551D"/>
    <w:rsid w:val="008D5DDB"/>
    <w:rsid w:val="00955B7E"/>
    <w:rsid w:val="00985608"/>
    <w:rsid w:val="00987C6B"/>
    <w:rsid w:val="00990D5D"/>
    <w:rsid w:val="009A5AAB"/>
    <w:rsid w:val="009D2B4E"/>
    <w:rsid w:val="009F6DE1"/>
    <w:rsid w:val="00A03C67"/>
    <w:rsid w:val="00A04ECD"/>
    <w:rsid w:val="00A84116"/>
    <w:rsid w:val="00A91ED4"/>
    <w:rsid w:val="00AA4834"/>
    <w:rsid w:val="00AC3C3E"/>
    <w:rsid w:val="00AC7303"/>
    <w:rsid w:val="00AD2C54"/>
    <w:rsid w:val="00B12D19"/>
    <w:rsid w:val="00B72A53"/>
    <w:rsid w:val="00BA2D56"/>
    <w:rsid w:val="00BD049A"/>
    <w:rsid w:val="00BE5DEF"/>
    <w:rsid w:val="00BF0E04"/>
    <w:rsid w:val="00C02FA8"/>
    <w:rsid w:val="00C10F4B"/>
    <w:rsid w:val="00C11578"/>
    <w:rsid w:val="00C13B42"/>
    <w:rsid w:val="00C4167E"/>
    <w:rsid w:val="00C53BC6"/>
    <w:rsid w:val="00CB026E"/>
    <w:rsid w:val="00CC15F8"/>
    <w:rsid w:val="00CC607A"/>
    <w:rsid w:val="00CC6222"/>
    <w:rsid w:val="00CD4104"/>
    <w:rsid w:val="00D36430"/>
    <w:rsid w:val="00D44876"/>
    <w:rsid w:val="00DC44CE"/>
    <w:rsid w:val="00DC6516"/>
    <w:rsid w:val="00DD1EDC"/>
    <w:rsid w:val="00DE3849"/>
    <w:rsid w:val="00DF4EBB"/>
    <w:rsid w:val="00E22901"/>
    <w:rsid w:val="00E24B0B"/>
    <w:rsid w:val="00E3567A"/>
    <w:rsid w:val="00E75E3C"/>
    <w:rsid w:val="00F0486D"/>
    <w:rsid w:val="00F065AA"/>
    <w:rsid w:val="00F44A27"/>
    <w:rsid w:val="00F602BE"/>
    <w:rsid w:val="00F9577B"/>
    <w:rsid w:val="00FD2AD9"/>
    <w:rsid w:val="00FE092B"/>
    <w:rsid w:val="00FE4F14"/>
    <w:rsid w:val="00FE62E6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48F6"/>
  <w15:chartTrackingRefBased/>
  <w15:docId w15:val="{BD87D915-834C-4B9A-B7BF-AE08CB3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82B70-3EC2-487D-B1B5-27B35021A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BB6A6-C95E-47DF-8033-BE1ED357B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38D20-B802-4E40-B2B2-96E0E029C359}">
  <ds:schemaRefs>
    <ds:schemaRef ds:uri="http://schemas.microsoft.com/office/2006/metadata/properties"/>
    <ds:schemaRef ds:uri="http://schemas.microsoft.com/office/infopath/2007/PartnerControls"/>
    <ds:schemaRef ds:uri="b24fd3ba-0a78-406f-a768-509ae3d3e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gran5492</dc:creator>
  <cp:keywords/>
  <cp:lastModifiedBy>John Tweedie</cp:lastModifiedBy>
  <cp:revision>3</cp:revision>
  <dcterms:created xsi:type="dcterms:W3CDTF">2025-02-18T10:24:00Z</dcterms:created>
  <dcterms:modified xsi:type="dcterms:W3CDTF">2025-02-18T10:24:00Z</dcterms:modified>
</cp:coreProperties>
</file>