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35BABD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76">
        <w:rPr>
          <w:rStyle w:val="Heading2Char"/>
          <w:b/>
        </w:rPr>
        <w:t>PPL2GEN5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E4D10">
        <w:rPr>
          <w:rStyle w:val="Heading2Char"/>
          <w:b/>
        </w:rPr>
        <w:t>J8HN 04</w:t>
      </w:r>
      <w:r w:rsidR="00954A3B" w:rsidRPr="00093275">
        <w:rPr>
          <w:rStyle w:val="Heading2Char"/>
          <w:b/>
        </w:rPr>
        <w:t>)</w:t>
      </w:r>
    </w:p>
    <w:p w14:paraId="6DBA96FD" w14:textId="77777777" w:rsidR="00B41776" w:rsidRDefault="00B41776" w:rsidP="00093275">
      <w:pPr>
        <w:pStyle w:val="Heading3"/>
        <w:rPr>
          <w:sz w:val="36"/>
          <w:szCs w:val="26"/>
        </w:rPr>
      </w:pPr>
      <w:r w:rsidRPr="00B41776">
        <w:rPr>
          <w:sz w:val="36"/>
          <w:szCs w:val="26"/>
        </w:rPr>
        <w:t>Maintain Food Safety in a Hospitality Environment</w:t>
      </w:r>
    </w:p>
    <w:p w14:paraId="61214B51" w14:textId="68E32977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B41776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Default="00A95DD4" w:rsidP="00093275">
      <w:pPr>
        <w:pStyle w:val="Heading4"/>
      </w:pPr>
      <w:r w:rsidRPr="00093275">
        <w:lastRenderedPageBreak/>
        <w:t>Unit overview</w:t>
      </w:r>
    </w:p>
    <w:p w14:paraId="69CC96F9" w14:textId="046102CC" w:rsidR="00053F8C" w:rsidRPr="00053F8C" w:rsidRDefault="00053F8C" w:rsidP="00F27185">
      <w:r w:rsidRPr="00053F8C">
        <w:t>This standard reflects current food safety guidance in the UK and integrates</w:t>
      </w:r>
      <w:r w:rsidR="00F27185">
        <w:t xml:space="preserve"> </w:t>
      </w:r>
      <w:r w:rsidRPr="00053F8C">
        <w:t>the key themes of cleaning and preventing contamination. It provides staff with</w:t>
      </w:r>
      <w:r w:rsidR="00F27185">
        <w:t xml:space="preserve"> </w:t>
      </w:r>
      <w:r w:rsidRPr="00053F8C">
        <w:t xml:space="preserve">the knowledge and skills of reviewing hazards and using </w:t>
      </w:r>
      <w:proofErr w:type="gramStart"/>
      <w:r w:rsidRPr="00053F8C">
        <w:t>hazard based</w:t>
      </w:r>
      <w:proofErr w:type="gramEnd"/>
      <w:r w:rsidR="00F27185">
        <w:t xml:space="preserve"> </w:t>
      </w:r>
      <w:r w:rsidRPr="00053F8C">
        <w:t>procedures to maintain food safety in their department.</w:t>
      </w:r>
    </w:p>
    <w:p w14:paraId="008C8DA3" w14:textId="0248359C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5D2A3CEC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3CC66109" w14:textId="77777777" w:rsidR="00B41776" w:rsidRPr="009A0903" w:rsidRDefault="00B41776" w:rsidP="00B41776">
      <w:pPr>
        <w:rPr>
          <w:rFonts w:eastAsia="Calibri"/>
        </w:rPr>
      </w:pPr>
      <w:r w:rsidRPr="009A0903">
        <w:rPr>
          <w:rFonts w:eastAsia="Calibri"/>
        </w:rPr>
        <w:t xml:space="preserve">The assessor </w:t>
      </w:r>
      <w:r w:rsidRPr="009A0903">
        <w:rPr>
          <w:rFonts w:eastAsia="Calibri"/>
          <w:u w:val="single"/>
        </w:rPr>
        <w:t>must</w:t>
      </w:r>
      <w:r w:rsidRPr="009A0903">
        <w:rPr>
          <w:rFonts w:eastAsia="Calibri"/>
        </w:rPr>
        <w:t xml:space="preserve"> assess PCs 1</w:t>
      </w:r>
      <w:r>
        <w:rPr>
          <w:rFonts w:eastAsia="Calibri"/>
        </w:rPr>
        <w:t>-3, 5 and 8</w:t>
      </w:r>
      <w:r w:rsidRPr="009A0903">
        <w:rPr>
          <w:rFonts w:eastAsia="Calibri"/>
        </w:rPr>
        <w:t xml:space="preserve"> by directly observing the candidate’s work.</w:t>
      </w:r>
    </w:p>
    <w:p w14:paraId="18D420B5" w14:textId="77777777" w:rsidR="00B41776" w:rsidRPr="009A0903" w:rsidRDefault="00B41776" w:rsidP="00B41776">
      <w:pPr>
        <w:rPr>
          <w:rFonts w:eastAsia="Calibri"/>
          <w:lang w:val="en-US"/>
        </w:rPr>
      </w:pPr>
      <w:r w:rsidRPr="009A0903">
        <w:rPr>
          <w:rFonts w:eastAsia="Calibri"/>
        </w:rPr>
        <w:t xml:space="preserve">PCs </w:t>
      </w:r>
      <w:r>
        <w:rPr>
          <w:rFonts w:eastAsia="Calibri"/>
        </w:rPr>
        <w:t>4, 6</w:t>
      </w:r>
      <w:r w:rsidRPr="009A0903">
        <w:rPr>
          <w:rFonts w:eastAsia="Calibri"/>
        </w:rPr>
        <w:t xml:space="preserve"> and </w:t>
      </w:r>
      <w:r>
        <w:rPr>
          <w:rFonts w:eastAsia="Calibri"/>
        </w:rPr>
        <w:t>7</w:t>
      </w:r>
      <w:r w:rsidRPr="009A0903">
        <w:rPr>
          <w:rFonts w:eastAsia="Calibri"/>
        </w:rPr>
        <w:t xml:space="preserve"> may be assessed using alternative assessment methods if observation is not possible</w:t>
      </w:r>
      <w:r>
        <w:rPr>
          <w:rFonts w:eastAsia="Calibri"/>
        </w:rPr>
        <w:t>.</w:t>
      </w:r>
    </w:p>
    <w:p w14:paraId="299C5C44" w14:textId="225B155F" w:rsidR="00B41776" w:rsidRDefault="00B41776" w:rsidP="00B41776">
      <w:pPr>
        <w:pStyle w:val="Numberedlistlevel1"/>
        <w:rPr>
          <w:lang w:bidi="ar-SA"/>
        </w:rPr>
      </w:pPr>
      <w:r>
        <w:rPr>
          <w:lang w:bidi="ar-SA"/>
        </w:rPr>
        <w:t>Comply with relevant legal and organisational requirements for personal hygiene and behaviour.</w:t>
      </w:r>
    </w:p>
    <w:p w14:paraId="04B14564" w14:textId="5008A1F0" w:rsidR="00B41776" w:rsidRDefault="00B41776" w:rsidP="00B41776">
      <w:pPr>
        <w:pStyle w:val="Numberedlistlevel1"/>
        <w:rPr>
          <w:lang w:bidi="ar-SA"/>
        </w:rPr>
      </w:pPr>
      <w:r>
        <w:rPr>
          <w:lang w:bidi="ar-SA"/>
        </w:rPr>
        <w:t>Ensure surfaces and equipment are clean and in good condition.</w:t>
      </w:r>
    </w:p>
    <w:p w14:paraId="40F4817D" w14:textId="59DCC017" w:rsidR="00B41776" w:rsidRDefault="00B41776" w:rsidP="00B41776">
      <w:pPr>
        <w:pStyle w:val="Numberedlistlevel1"/>
        <w:rPr>
          <w:lang w:bidi="ar-SA"/>
        </w:rPr>
      </w:pPr>
      <w:r>
        <w:rPr>
          <w:lang w:bidi="ar-SA"/>
        </w:rPr>
        <w:t>Use clean and suitable cloths and equipment for wiping and cleaning between tasks.</w:t>
      </w:r>
    </w:p>
    <w:p w14:paraId="2816759A" w14:textId="1ED44285" w:rsidR="00B41776" w:rsidRDefault="00B41776" w:rsidP="00B41776">
      <w:pPr>
        <w:pStyle w:val="Numberedlistlevel1"/>
        <w:rPr>
          <w:lang w:bidi="ar-SA"/>
        </w:rPr>
      </w:pPr>
      <w:r>
        <w:rPr>
          <w:lang w:bidi="ar-SA"/>
        </w:rPr>
        <w:t>Remove from use any surfaces and equipment that are damaged or have loose parts and report them to the person responsible.</w:t>
      </w:r>
    </w:p>
    <w:p w14:paraId="67134219" w14:textId="77777777" w:rsidR="00781588" w:rsidRDefault="00B41776" w:rsidP="00B41776">
      <w:pPr>
        <w:pStyle w:val="Numberedlistlevel1"/>
        <w:rPr>
          <w:lang w:bidi="ar-SA"/>
        </w:rPr>
      </w:pPr>
      <w:r>
        <w:rPr>
          <w:lang w:bidi="ar-SA"/>
        </w:rPr>
        <w:t>Dispose of waste promptly, hygienically and appropriately</w:t>
      </w:r>
      <w:r w:rsidR="00781588">
        <w:rPr>
          <w:lang w:bidi="ar-SA"/>
        </w:rPr>
        <w:t>.</w:t>
      </w:r>
    </w:p>
    <w:p w14:paraId="4B06DB88" w14:textId="77777777" w:rsidR="00053F8C" w:rsidRDefault="00B41776" w:rsidP="00053F8C">
      <w:pPr>
        <w:pStyle w:val="Numberedlistlevel1"/>
        <w:rPr>
          <w:lang w:bidi="ar-SA"/>
        </w:rPr>
      </w:pPr>
      <w:r>
        <w:rPr>
          <w:lang w:bidi="ar-SA"/>
        </w:rPr>
        <w:t>Identify, take</w:t>
      </w:r>
      <w:r w:rsidR="00053F8C">
        <w:rPr>
          <w:lang w:bidi="ar-SA"/>
        </w:rPr>
        <w:t xml:space="preserve"> </w:t>
      </w:r>
      <w:r>
        <w:rPr>
          <w:lang w:bidi="ar-SA"/>
        </w:rPr>
        <w:t>appropriate action on and report to the appropriate person any damage to</w:t>
      </w:r>
      <w:r w:rsidR="00053F8C">
        <w:rPr>
          <w:lang w:bidi="ar-SA"/>
        </w:rPr>
        <w:t xml:space="preserve"> </w:t>
      </w:r>
      <w:r>
        <w:rPr>
          <w:lang w:bidi="ar-SA"/>
        </w:rPr>
        <w:t>walls, floors, ceilings, furniture and fittings.</w:t>
      </w:r>
    </w:p>
    <w:p w14:paraId="0D526E80" w14:textId="18AE849A" w:rsidR="00053F8C" w:rsidRDefault="00B41776" w:rsidP="00053F8C">
      <w:pPr>
        <w:pStyle w:val="Numberedlistlevel1"/>
        <w:rPr>
          <w:lang w:bidi="ar-SA"/>
        </w:rPr>
      </w:pPr>
      <w:r>
        <w:rPr>
          <w:lang w:bidi="ar-SA"/>
        </w:rPr>
        <w:t>Identify, take appropriate action</w:t>
      </w:r>
      <w:r w:rsidR="00053F8C">
        <w:rPr>
          <w:lang w:bidi="ar-SA"/>
        </w:rPr>
        <w:t xml:space="preserve"> </w:t>
      </w:r>
      <w:r>
        <w:rPr>
          <w:lang w:bidi="ar-SA"/>
        </w:rPr>
        <w:t>on and report to the appropriate person any signs of pests</w:t>
      </w:r>
      <w:r w:rsidR="00053F8C">
        <w:rPr>
          <w:lang w:bidi="ar-SA"/>
        </w:rPr>
        <w:t>.</w:t>
      </w:r>
    </w:p>
    <w:p w14:paraId="61EBB6E6" w14:textId="1DF162F6" w:rsidR="00A76ACC" w:rsidRDefault="00B41776" w:rsidP="00053F8C">
      <w:pPr>
        <w:pStyle w:val="Numberedlistlevel1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lang w:bidi="ar-SA"/>
        </w:rPr>
        <w:t>Keep necessary</w:t>
      </w:r>
      <w:r w:rsidR="00053F8C">
        <w:rPr>
          <w:lang w:bidi="ar-SA"/>
        </w:rPr>
        <w:t xml:space="preserve"> </w:t>
      </w:r>
      <w:r>
        <w:rPr>
          <w:lang w:bidi="ar-SA"/>
        </w:rPr>
        <w:t xml:space="preserve">records accurate and </w:t>
      </w:r>
      <w:proofErr w:type="gramStart"/>
      <w:r>
        <w:rPr>
          <w:lang w:bidi="ar-SA"/>
        </w:rPr>
        <w:t>up-to-date</w:t>
      </w:r>
      <w:proofErr w:type="gramEnd"/>
      <w:r w:rsidR="00F27185">
        <w:rPr>
          <w:lang w:bidi="ar-SA"/>
        </w:rPr>
        <w:t>.</w:t>
      </w:r>
    </w:p>
    <w:p w14:paraId="556611A0" w14:textId="3FC99C2C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781588" w:rsidRPr="00CE1EFE" w14:paraId="5FEC05F7" w14:textId="77777777" w:rsidTr="0078158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781588" w:rsidRPr="00CE1EFE" w:rsidRDefault="0078158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</w:tr>
      <w:tr w:rsidR="00781588" w:rsidRPr="00CE1EFE" w14:paraId="0C07B149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81588" w:rsidRPr="00086BF6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781588" w:rsidRPr="00086BF6" w:rsidRDefault="00781588" w:rsidP="00230C11">
            <w:pPr>
              <w:pStyle w:val="Tabletext"/>
            </w:pPr>
          </w:p>
        </w:tc>
      </w:tr>
      <w:tr w:rsidR="00781588" w:rsidRPr="00CE1EFE" w14:paraId="5691F8E7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4A32F03C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5BCF0F21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5E86B179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025430C9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2F914E6F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48CC36D9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0B0FE2BD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5A30C108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05978FAF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781588" w:rsidRPr="00CE1EFE" w:rsidRDefault="00781588" w:rsidP="00230C11">
            <w:pPr>
              <w:pStyle w:val="Tabletext"/>
            </w:pPr>
          </w:p>
        </w:tc>
      </w:tr>
      <w:tr w:rsidR="00781588" w:rsidRPr="00CE1EFE" w14:paraId="3D2C2388" w14:textId="77777777" w:rsidTr="0078158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81588" w:rsidRPr="00CE1EFE" w:rsidRDefault="0078158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781588" w:rsidRPr="00CE1EFE" w:rsidRDefault="00781588" w:rsidP="00230C11">
            <w:pPr>
              <w:pStyle w:val="Tabletext"/>
            </w:pPr>
          </w:p>
        </w:tc>
      </w:tr>
    </w:tbl>
    <w:p w14:paraId="4014643C" w14:textId="77777777" w:rsidR="004C7258" w:rsidRDefault="004C7258" w:rsidP="00781588">
      <w:pPr>
        <w:pStyle w:val="Heading4"/>
        <w:rPr>
          <w:lang w:bidi="ar-SA"/>
        </w:rPr>
        <w:sectPr w:rsidR="004C7258" w:rsidSect="00D043AE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25E2148A" w14:textId="55CD3C27" w:rsidR="00781588" w:rsidRDefault="00781588" w:rsidP="00781588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rPr>
          <w:lang w:bidi="ar-SA"/>
        </w:rPr>
        <w:t xml:space="preserve">Hazards / Sources of contamination - there must be evidence that the candidate’s work practices minimise the risk </w:t>
      </w:r>
      <w:r w:rsidRPr="0054685A">
        <w:rPr>
          <w:b/>
          <w:bCs/>
          <w:lang w:bidi="ar-SA"/>
        </w:rPr>
        <w:t>any</w:t>
      </w:r>
      <w:r>
        <w:rPr>
          <w:lang w:bidi="ar-SA"/>
        </w:rPr>
        <w:t xml:space="preserve"> of the following being introduced into the hospitality environment:</w:t>
      </w:r>
    </w:p>
    <w:p w14:paraId="6D3AB56A" w14:textId="101490CD" w:rsidR="00781588" w:rsidRPr="004C7258" w:rsidRDefault="00781588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1.1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microbial</w:t>
      </w:r>
    </w:p>
    <w:p w14:paraId="004EA80F" w14:textId="2D8445F7" w:rsidR="00781588" w:rsidRPr="004C7258" w:rsidRDefault="00781588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1.2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chemical</w:t>
      </w:r>
    </w:p>
    <w:p w14:paraId="6492075C" w14:textId="3DA0672A" w:rsidR="00781588" w:rsidRPr="004C7258" w:rsidRDefault="00781588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1.3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physical</w:t>
      </w:r>
    </w:p>
    <w:p w14:paraId="34EEA28B" w14:textId="56F68181" w:rsidR="00094917" w:rsidRPr="004C7258" w:rsidRDefault="00781588" w:rsidP="004C7258">
      <w:pPr>
        <w:pStyle w:val="Numberedlistlevel2"/>
        <w:spacing w:after="240"/>
        <w:ind w:left="993" w:hanging="568"/>
        <w:rPr>
          <w:rFonts w:eastAsia="Calibri"/>
        </w:rPr>
      </w:pPr>
      <w:r w:rsidRPr="004C7258">
        <w:rPr>
          <w:rFonts w:eastAsia="Calibri"/>
        </w:rPr>
        <w:t>1.4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allergenic</w:t>
      </w:r>
    </w:p>
    <w:p w14:paraId="32C02B98" w14:textId="31A0F4ED" w:rsidR="00053F8C" w:rsidRPr="00053F8C" w:rsidRDefault="00053F8C" w:rsidP="00053F8C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B666FF">
        <w:rPr>
          <w:rFonts w:eastAsia="Calibri"/>
          <w:bCs/>
        </w:rPr>
        <w:t>Vehicles of contamination</w:t>
      </w:r>
      <w:r>
        <w:rPr>
          <w:rFonts w:eastAsia="Calibri"/>
          <w:bCs/>
        </w:rPr>
        <w:t xml:space="preserve"> - t</w:t>
      </w:r>
      <w:r w:rsidRPr="009A0903">
        <w:rPr>
          <w:rFonts w:eastAsia="Calibri"/>
          <w:bCs/>
        </w:rPr>
        <w:t xml:space="preserve">he assessor must observe the candidate following food safety requirements correctly to ensure that at least </w:t>
      </w:r>
      <w:r w:rsidRPr="009A0903">
        <w:rPr>
          <w:rFonts w:eastAsia="Calibri"/>
          <w:b/>
          <w:bCs/>
        </w:rPr>
        <w:t>three</w:t>
      </w:r>
      <w:r w:rsidRPr="009A0903">
        <w:rPr>
          <w:rFonts w:eastAsia="Calibri"/>
          <w:bCs/>
        </w:rPr>
        <w:t xml:space="preserve"> of the following do </w:t>
      </w:r>
      <w:r w:rsidRPr="009A0903">
        <w:rPr>
          <w:rFonts w:eastAsia="Calibri"/>
          <w:b/>
          <w:bCs/>
        </w:rPr>
        <w:t xml:space="preserve">not </w:t>
      </w:r>
      <w:r w:rsidRPr="009A0903">
        <w:rPr>
          <w:rFonts w:eastAsia="Calibri"/>
          <w:bCs/>
        </w:rPr>
        <w:t>become vehicles of contamination:</w:t>
      </w:r>
    </w:p>
    <w:p w14:paraId="0C6F7F1F" w14:textId="18918AEE" w:rsidR="00053F8C" w:rsidRPr="004C7258" w:rsidRDefault="00053F8C" w:rsidP="004C7258">
      <w:pPr>
        <w:pStyle w:val="Numberedlistlevel2"/>
        <w:ind w:left="993" w:hanging="568"/>
        <w:rPr>
          <w:rFonts w:eastAsia="Calibri"/>
        </w:rPr>
      </w:pPr>
      <w:r w:rsidRPr="00053F8C">
        <w:rPr>
          <w:rFonts w:eastAsia="Calibri"/>
        </w:rPr>
        <w:t>2.1</w:t>
      </w:r>
      <w:r w:rsidR="004C7258">
        <w:rPr>
          <w:rFonts w:eastAsia="Calibri"/>
        </w:rPr>
        <w:tab/>
      </w:r>
      <w:r w:rsidRPr="00053F8C">
        <w:rPr>
          <w:rFonts w:eastAsia="Calibri"/>
        </w:rPr>
        <w:t>hands</w:t>
      </w:r>
    </w:p>
    <w:p w14:paraId="2C6C79CA" w14:textId="5C14133B" w:rsidR="00053F8C" w:rsidRPr="004C7258" w:rsidRDefault="00053F8C" w:rsidP="004C7258">
      <w:pPr>
        <w:pStyle w:val="Numberedlistlevel2"/>
        <w:ind w:left="993" w:hanging="568"/>
        <w:rPr>
          <w:rFonts w:eastAsia="Calibri"/>
        </w:rPr>
      </w:pPr>
      <w:r w:rsidRPr="00053F8C">
        <w:rPr>
          <w:rFonts w:eastAsia="Calibri"/>
        </w:rPr>
        <w:t>2.2</w:t>
      </w:r>
      <w:r w:rsidR="004C7258">
        <w:rPr>
          <w:rFonts w:eastAsia="Calibri"/>
        </w:rPr>
        <w:tab/>
      </w:r>
      <w:r w:rsidRPr="00053F8C">
        <w:rPr>
          <w:rFonts w:eastAsia="Calibri"/>
        </w:rPr>
        <w:t>cloths and equipment</w:t>
      </w:r>
    </w:p>
    <w:p w14:paraId="588916B1" w14:textId="75AC5FBA" w:rsidR="00053F8C" w:rsidRPr="004C7258" w:rsidRDefault="00053F8C" w:rsidP="004C7258">
      <w:pPr>
        <w:pStyle w:val="Numberedlistlevel2"/>
        <w:ind w:left="993" w:hanging="568"/>
        <w:rPr>
          <w:rFonts w:eastAsia="Calibri"/>
        </w:rPr>
      </w:pPr>
      <w:r w:rsidRPr="00053F8C">
        <w:rPr>
          <w:rFonts w:eastAsia="Calibri"/>
        </w:rPr>
        <w:t>2.3</w:t>
      </w:r>
      <w:r w:rsidR="004C7258">
        <w:rPr>
          <w:rFonts w:eastAsia="Calibri"/>
        </w:rPr>
        <w:tab/>
      </w:r>
      <w:r w:rsidRPr="00053F8C">
        <w:rPr>
          <w:rFonts w:eastAsia="Calibri"/>
        </w:rPr>
        <w:t xml:space="preserve">hand contact surfaces </w:t>
      </w:r>
    </w:p>
    <w:p w14:paraId="1E387C1D" w14:textId="10D0C0AE" w:rsidR="00053F8C" w:rsidRPr="004C7258" w:rsidRDefault="00053F8C" w:rsidP="004C7258">
      <w:pPr>
        <w:pStyle w:val="Numberedlistlevel2"/>
        <w:ind w:left="993" w:hanging="568"/>
        <w:rPr>
          <w:rFonts w:eastAsia="Calibri"/>
        </w:rPr>
      </w:pPr>
      <w:r w:rsidRPr="00053F8C">
        <w:rPr>
          <w:rFonts w:eastAsia="Calibri"/>
        </w:rPr>
        <w:t>2.4</w:t>
      </w:r>
      <w:r w:rsidR="004C7258">
        <w:rPr>
          <w:rFonts w:eastAsia="Calibri"/>
        </w:rPr>
        <w:tab/>
      </w:r>
      <w:r w:rsidRPr="00053F8C">
        <w:rPr>
          <w:rFonts w:eastAsia="Calibri"/>
        </w:rPr>
        <w:t xml:space="preserve">food contact surfaces </w:t>
      </w:r>
    </w:p>
    <w:p w14:paraId="77FE2904" w14:textId="49EEEF21" w:rsidR="00053F8C" w:rsidRDefault="00053F8C" w:rsidP="004C7258">
      <w:pPr>
        <w:pStyle w:val="Numberedlistlevel2"/>
        <w:ind w:left="993" w:hanging="568"/>
        <w:rPr>
          <w:rFonts w:eastAsia="Calibri"/>
        </w:rPr>
      </w:pPr>
      <w:r w:rsidRPr="00053F8C">
        <w:rPr>
          <w:rFonts w:eastAsia="Calibri"/>
        </w:rPr>
        <w:t>2.5</w:t>
      </w:r>
      <w:r w:rsidR="004C7258">
        <w:rPr>
          <w:rFonts w:eastAsia="Calibri"/>
        </w:rPr>
        <w:tab/>
      </w:r>
      <w:r w:rsidRPr="00053F8C">
        <w:rPr>
          <w:rFonts w:eastAsia="Calibri"/>
        </w:rPr>
        <w:t>contamination routes</w:t>
      </w:r>
    </w:p>
    <w:p w14:paraId="39153E1E" w14:textId="5D736511" w:rsidR="00094917" w:rsidRPr="00094917" w:rsidRDefault="00094917" w:rsidP="00094917">
      <w:pPr>
        <w:pStyle w:val="ListParagraph"/>
        <w:numPr>
          <w:ilvl w:val="0"/>
          <w:numId w:val="12"/>
        </w:numPr>
        <w:ind w:left="426" w:hanging="426"/>
        <w:rPr>
          <w:rFonts w:eastAsia="Calibri"/>
        </w:rPr>
      </w:pPr>
      <w:r w:rsidRPr="00094917">
        <w:rPr>
          <w:rFonts w:eastAsia="Calibri"/>
        </w:rPr>
        <w:t xml:space="preserve">Personal hygiene and behaviour - the assessor must observe the candidate complying with at least </w:t>
      </w:r>
      <w:r w:rsidRPr="00094917">
        <w:rPr>
          <w:rFonts w:eastAsia="Calibri"/>
          <w:b/>
        </w:rPr>
        <w:t>four</w:t>
      </w:r>
      <w:r w:rsidRPr="00094917">
        <w:rPr>
          <w:rFonts w:eastAsia="Calibri"/>
        </w:rPr>
        <w:t xml:space="preserve"> of the following when working in the hospitality environment:</w:t>
      </w:r>
    </w:p>
    <w:p w14:paraId="7EFCD9DD" w14:textId="581FC4B4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3.1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wearing protective clothing and headgear</w:t>
      </w:r>
    </w:p>
    <w:p w14:paraId="453EF2BD" w14:textId="463E892B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3.2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keeping direct handling of food to a minimum</w:t>
      </w:r>
    </w:p>
    <w:p w14:paraId="1AF31574" w14:textId="595E7B12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3.3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 xml:space="preserve">following recommended procedures for washing hands, including when to wash their hands (after going to the toilet; when going into food preparation, cooking, and service areas; after touching raw food and waste and before serving food) </w:t>
      </w:r>
    </w:p>
    <w:p w14:paraId="7A8ABFFB" w14:textId="706CBF90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3.4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reporting cuts, boils, grazes, and injuries</w:t>
      </w:r>
    </w:p>
    <w:p w14:paraId="37F3ECE8" w14:textId="24923CCB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lastRenderedPageBreak/>
        <w:t>3.5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 xml:space="preserve">treating and covering cuts, boils, skin infections and grazes </w:t>
      </w:r>
    </w:p>
    <w:p w14:paraId="23D44957" w14:textId="542B7C36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3.6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reporting illnesses and infections, particularly stomach illnesses, before entering the production area</w:t>
      </w:r>
    </w:p>
    <w:p w14:paraId="220E45E8" w14:textId="42C2DC95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3.7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 xml:space="preserve">having clean hair, skin, nails, and clothing </w:t>
      </w:r>
    </w:p>
    <w:p w14:paraId="189C8AB5" w14:textId="1840913B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3.8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 xml:space="preserve">wearing jewellery only in line with organisational procedures </w:t>
      </w:r>
    </w:p>
    <w:p w14:paraId="488208C9" w14:textId="08F5DA8E" w:rsidR="00094917" w:rsidRPr="009A0903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3.9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recording incidents</w:t>
      </w:r>
    </w:p>
    <w:p w14:paraId="3F97E85A" w14:textId="109A0CC1" w:rsidR="00625A27" w:rsidRDefault="00094917" w:rsidP="004C7258">
      <w:pPr>
        <w:pStyle w:val="Numberedlistlevel2"/>
        <w:spacing w:after="240"/>
        <w:ind w:left="993" w:hanging="568"/>
        <w:rPr>
          <w:rFonts w:eastAsia="Calibri"/>
        </w:rPr>
      </w:pPr>
      <w:r>
        <w:rPr>
          <w:rFonts w:eastAsia="Calibri"/>
        </w:rPr>
        <w:t>3.10</w:t>
      </w:r>
      <w:r w:rsidR="004C7258">
        <w:rPr>
          <w:rFonts w:eastAsia="Calibri"/>
        </w:rPr>
        <w:tab/>
      </w:r>
      <w:r w:rsidRPr="009A0903">
        <w:rPr>
          <w:rFonts w:eastAsia="Calibri"/>
        </w:rPr>
        <w:t>avoiding unsafe behaviour including touching face, nose, or mouth; chewing gum; eating; smoking – when working with food</w:t>
      </w:r>
    </w:p>
    <w:p w14:paraId="42031503" w14:textId="7A361A01" w:rsidR="00094917" w:rsidRPr="00094917" w:rsidRDefault="00094917" w:rsidP="00094917">
      <w:pPr>
        <w:pStyle w:val="ListParagraph"/>
        <w:numPr>
          <w:ilvl w:val="0"/>
          <w:numId w:val="12"/>
        </w:numPr>
        <w:ind w:left="426" w:hanging="426"/>
        <w:rPr>
          <w:rFonts w:eastAsia="Calibri"/>
        </w:rPr>
      </w:pPr>
      <w:bookmarkStart w:id="2" w:name="_Hlk172557116"/>
      <w:r w:rsidRPr="00094917">
        <w:rPr>
          <w:rFonts w:eastAsia="Calibri"/>
        </w:rPr>
        <w:t xml:space="preserve"> Surfaces and equipment - The assessor must observe the candidate complying with food safety requirements correctly for </w:t>
      </w:r>
      <w:r w:rsidRPr="00094917">
        <w:rPr>
          <w:rFonts w:eastAsia="Calibri"/>
          <w:b/>
        </w:rPr>
        <w:t xml:space="preserve">both </w:t>
      </w:r>
      <w:r w:rsidRPr="00094917">
        <w:rPr>
          <w:rFonts w:eastAsia="Calibri"/>
        </w:rPr>
        <w:t>of the following:</w:t>
      </w:r>
    </w:p>
    <w:p w14:paraId="0B49DA00" w14:textId="46C873C9" w:rsidR="00094917" w:rsidRPr="004C7258" w:rsidRDefault="00094917" w:rsidP="004C7258">
      <w:pPr>
        <w:pStyle w:val="Numberedlistlevel2"/>
        <w:ind w:left="993" w:hanging="568"/>
        <w:rPr>
          <w:rFonts w:eastAsia="Calibri"/>
        </w:rPr>
      </w:pPr>
      <w:r w:rsidRPr="004C7258">
        <w:rPr>
          <w:rFonts w:eastAsia="Calibri"/>
        </w:rPr>
        <w:t>4.1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>surfaces and utensils used in the department</w:t>
      </w:r>
    </w:p>
    <w:p w14:paraId="2B3CF789" w14:textId="3955FBE9" w:rsidR="00094917" w:rsidRPr="004C7258" w:rsidRDefault="00094917" w:rsidP="00625A27">
      <w:pPr>
        <w:pStyle w:val="Numberedlistlevel2"/>
        <w:spacing w:after="240"/>
        <w:ind w:left="993" w:hanging="568"/>
        <w:rPr>
          <w:rFonts w:eastAsia="Calibri"/>
        </w:rPr>
      </w:pPr>
      <w:r w:rsidRPr="004C7258">
        <w:rPr>
          <w:rFonts w:eastAsia="Calibri"/>
        </w:rPr>
        <w:t>4.2</w:t>
      </w:r>
      <w:r w:rsidR="004C7258" w:rsidRPr="004C7258">
        <w:rPr>
          <w:rFonts w:eastAsia="Calibri"/>
        </w:rPr>
        <w:tab/>
      </w:r>
      <w:r w:rsidRPr="004C7258">
        <w:rPr>
          <w:rFonts w:eastAsia="Calibri"/>
        </w:rPr>
        <w:t xml:space="preserve">cleaning equipment used </w:t>
      </w:r>
    </w:p>
    <w:bookmarkEnd w:id="2"/>
    <w:p w14:paraId="2429325D" w14:textId="77777777" w:rsidR="007C2206" w:rsidRDefault="007C2206" w:rsidP="007C2206">
      <w:pPr>
        <w:rPr>
          <w:lang w:bidi="ar-SA"/>
        </w:rPr>
        <w:sectPr w:rsidR="007C2206" w:rsidSect="00D043A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5E422EDC" w:rsidR="00196ECB" w:rsidRPr="00CE1EFE" w:rsidRDefault="00B67E7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77931794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67E7D"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35CFD1EF" w14:textId="5170373D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67E7D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00B58E74" w14:textId="0A1513EC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67E7D">
              <w:rPr>
                <w:b/>
                <w:bCs/>
              </w:rPr>
              <w:t>3</w:t>
            </w:r>
          </w:p>
        </w:tc>
        <w:tc>
          <w:tcPr>
            <w:tcW w:w="512" w:type="dxa"/>
            <w:vAlign w:val="center"/>
          </w:tcPr>
          <w:p w14:paraId="50269656" w14:textId="47028600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67E7D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736242CC" w14:textId="70D15F70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B67E7D">
              <w:rPr>
                <w:b/>
                <w:bCs/>
              </w:rPr>
              <w:t>5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145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1"/>
        <w:gridCol w:w="4400"/>
        <w:gridCol w:w="1064"/>
        <w:gridCol w:w="680"/>
        <w:gridCol w:w="675"/>
        <w:gridCol w:w="675"/>
        <w:gridCol w:w="675"/>
        <w:gridCol w:w="675"/>
        <w:gridCol w:w="675"/>
        <w:gridCol w:w="675"/>
      </w:tblGrid>
      <w:tr w:rsidR="00B67E7D" w:rsidRPr="00CE1EFE" w14:paraId="516449F7" w14:textId="0C56DD0F" w:rsidTr="00B67E7D">
        <w:trPr>
          <w:cantSplit/>
          <w:trHeight w:val="454"/>
          <w:tblHeader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B67E7D" w:rsidRPr="00CE1EFE" w:rsidRDefault="00B67E7D" w:rsidP="00B67E7D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B67E7D" w:rsidRPr="00CE1EFE" w:rsidRDefault="00B67E7D" w:rsidP="00B67E7D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B67E7D" w:rsidRPr="00CE1EFE" w:rsidRDefault="00B67E7D" w:rsidP="00B67E7D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31B9CE18" w:rsidR="00B67E7D" w:rsidRPr="00CE1EFE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675" w:type="dxa"/>
            <w:vAlign w:val="center"/>
          </w:tcPr>
          <w:p w14:paraId="5C778D6F" w14:textId="3F50343F" w:rsidR="00B67E7D" w:rsidRPr="00CE1EFE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675" w:type="dxa"/>
            <w:vAlign w:val="center"/>
          </w:tcPr>
          <w:p w14:paraId="79C31DBB" w14:textId="3904380E" w:rsidR="00B67E7D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  <w:tc>
          <w:tcPr>
            <w:tcW w:w="675" w:type="dxa"/>
            <w:vAlign w:val="center"/>
          </w:tcPr>
          <w:p w14:paraId="4D58997A" w14:textId="4F40EE24" w:rsidR="00B67E7D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</w:p>
        </w:tc>
        <w:tc>
          <w:tcPr>
            <w:tcW w:w="675" w:type="dxa"/>
            <w:vAlign w:val="center"/>
          </w:tcPr>
          <w:p w14:paraId="7B6B509A" w14:textId="49A7FCA4" w:rsidR="00B67E7D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3.10</w:t>
            </w:r>
          </w:p>
        </w:tc>
        <w:tc>
          <w:tcPr>
            <w:tcW w:w="675" w:type="dxa"/>
            <w:vAlign w:val="center"/>
          </w:tcPr>
          <w:p w14:paraId="5F002113" w14:textId="16575707" w:rsidR="00B67E7D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675" w:type="dxa"/>
            <w:vAlign w:val="center"/>
          </w:tcPr>
          <w:p w14:paraId="2301BCEE" w14:textId="610F5765" w:rsidR="00B67E7D" w:rsidRDefault="00B67E7D" w:rsidP="00B67E7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B67E7D" w:rsidRPr="00CE1EFE" w14:paraId="6894E1B0" w14:textId="36119BD0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4A375F1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E1EBB23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BFE0528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C933DFF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7BE4BC3" w14:textId="77777777" w:rsidR="00B67E7D" w:rsidRPr="00900935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7A6D2F6F" w14:textId="77777777" w:rsidR="00B67E7D" w:rsidRPr="00900935" w:rsidRDefault="00B67E7D" w:rsidP="00B67E7D">
            <w:pPr>
              <w:pStyle w:val="Tabletext"/>
            </w:pPr>
          </w:p>
        </w:tc>
      </w:tr>
      <w:tr w:rsidR="00B67E7D" w:rsidRPr="00CE1EFE" w14:paraId="1D4941C9" w14:textId="26161C89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BCC167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C0114D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08A4AE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951773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556F204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738F3B0C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5014C5EC" w14:textId="1F8723CE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930D838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8D0DE7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FF3202C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E75594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6EE9831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A514765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3DC93583" w14:textId="04678A9C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1483CD4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5EE9B3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DC4C5E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33D3F24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FAC11F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7739C196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30EF133E" w14:textId="793BC1FF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CE0A40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C98D49C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E215A2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48E5B0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447246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84DB10F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5AE3724B" w14:textId="2A3F55DA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4A11D4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F50FA6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70A266FA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ACD656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4B939F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0F1FFD1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10CB9267" w14:textId="4EAB8018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90FDCED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77B78C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6D48C0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45DF02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2D32DC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A8F55A7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4BC75DBF" w14:textId="4AE3F2A3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09DBB94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423D83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E2A5E1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5E02A6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3C6E34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0099699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2B6F55B4" w14:textId="6AEE1D49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56A452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278DB5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184141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BE6644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0A264F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1074745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6C0B5491" w14:textId="59B2D267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194D5E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5DFC88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51D4D32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C3E996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88FD20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079D0BA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1C294219" w14:textId="556F11D6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0EFAFDC6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1D365DBD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9B6E28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210C2F8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6B87763A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6CF6D68" w14:textId="77777777" w:rsidR="00B67E7D" w:rsidRPr="00CE1EFE" w:rsidRDefault="00B67E7D" w:rsidP="00B67E7D">
            <w:pPr>
              <w:pStyle w:val="Tabletext"/>
            </w:pPr>
          </w:p>
        </w:tc>
      </w:tr>
      <w:tr w:rsidR="00B67E7D" w:rsidRPr="00CE1EFE" w14:paraId="5DCE07AD" w14:textId="3A7CA220" w:rsidTr="00B67E7D">
        <w:trPr>
          <w:cantSplit/>
          <w:trHeight w:val="454"/>
        </w:trPr>
        <w:tc>
          <w:tcPr>
            <w:tcW w:w="1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44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10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8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CC73C50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78A42808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4CA0C3CD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A648635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5D7D7E43" w14:textId="77777777" w:rsidR="00B67E7D" w:rsidRPr="00CE1EFE" w:rsidRDefault="00B67E7D" w:rsidP="00B67E7D">
            <w:pPr>
              <w:pStyle w:val="Tabletext"/>
            </w:pPr>
          </w:p>
        </w:tc>
        <w:tc>
          <w:tcPr>
            <w:tcW w:w="675" w:type="dxa"/>
          </w:tcPr>
          <w:p w14:paraId="3261B678" w14:textId="77777777" w:rsidR="00B67E7D" w:rsidRPr="00CE1EFE" w:rsidRDefault="00B67E7D" w:rsidP="00B67E7D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D543A7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D543A7">
        <w:trPr>
          <w:cantSplit/>
          <w:trHeight w:val="454"/>
        </w:trPr>
        <w:tc>
          <w:tcPr>
            <w:tcW w:w="11482" w:type="dxa"/>
          </w:tcPr>
          <w:p w14:paraId="014B6CA9" w14:textId="30B5B7F9" w:rsidR="009772AA" w:rsidRPr="00FE1539" w:rsidRDefault="00781588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types of contamination and cross-contamination of food and surfaces, how they can occur and the vehicles of contamination including surfaces.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D543A7">
        <w:trPr>
          <w:cantSplit/>
          <w:trHeight w:val="454"/>
        </w:trPr>
        <w:tc>
          <w:tcPr>
            <w:tcW w:w="11482" w:type="dxa"/>
          </w:tcPr>
          <w:p w14:paraId="024A5D82" w14:textId="1D835B33" w:rsidR="009772AA" w:rsidRPr="00FE1539" w:rsidRDefault="00781588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types of food poisoning, how food poisoning organisms can contaminate food, the factors which enable the growth of food poisoning organisms and the common symptoms of food poisoning.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094917" w:rsidRPr="00CE1EFE" w14:paraId="5700BCB8" w14:textId="77777777" w:rsidTr="00D543A7">
        <w:trPr>
          <w:cantSplit/>
          <w:trHeight w:val="454"/>
        </w:trPr>
        <w:tc>
          <w:tcPr>
            <w:tcW w:w="11482" w:type="dxa"/>
          </w:tcPr>
          <w:p w14:paraId="59F5DD90" w14:textId="178CCC60" w:rsidR="00094917" w:rsidRPr="00FE1539" w:rsidRDefault="00094917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How personal hygiene and behaviour affect the safety of food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1C563" w14:textId="77777777" w:rsidR="00094917" w:rsidRPr="00CE1EFE" w:rsidRDefault="0009491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E4C45" w14:textId="77777777" w:rsidR="00094917" w:rsidRPr="00CE1EFE" w:rsidRDefault="00094917" w:rsidP="00F85875">
            <w:pPr>
              <w:pStyle w:val="Tabletext"/>
            </w:pPr>
          </w:p>
        </w:tc>
      </w:tr>
      <w:tr w:rsidR="00094917" w:rsidRPr="00CE1EFE" w14:paraId="1A1B836A" w14:textId="77777777" w:rsidTr="00D543A7">
        <w:trPr>
          <w:cantSplit/>
          <w:trHeight w:val="454"/>
        </w:trPr>
        <w:tc>
          <w:tcPr>
            <w:tcW w:w="11482" w:type="dxa"/>
          </w:tcPr>
          <w:p w14:paraId="3E6CD172" w14:textId="67B84D09" w:rsidR="00094917" w:rsidRPr="00FE1539" w:rsidRDefault="00094917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Your role in spotting and dealing with hazards, and in reducing the risk of contamination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BE9AA" w14:textId="77777777" w:rsidR="00094917" w:rsidRPr="00CE1EFE" w:rsidRDefault="0009491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00423" w14:textId="77777777" w:rsidR="00094917" w:rsidRPr="00CE1EFE" w:rsidRDefault="00094917" w:rsidP="00F85875">
            <w:pPr>
              <w:pStyle w:val="Tabletext"/>
            </w:pPr>
          </w:p>
        </w:tc>
      </w:tr>
      <w:tr w:rsidR="009772AA" w:rsidRPr="00CE1EFE" w14:paraId="01989155" w14:textId="77777777" w:rsidTr="00D543A7">
        <w:trPr>
          <w:cantSplit/>
          <w:trHeight w:val="454"/>
        </w:trPr>
        <w:tc>
          <w:tcPr>
            <w:tcW w:w="11482" w:type="dxa"/>
          </w:tcPr>
          <w:p w14:paraId="601AD222" w14:textId="4371FEB6" w:rsidR="009772AA" w:rsidRPr="00FE1539" w:rsidRDefault="00337A93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importance of identifying food</w:t>
            </w:r>
            <w:r w:rsidR="00803B4C" w:rsidRPr="00FE1539">
              <w:t xml:space="preserve"> </w:t>
            </w:r>
            <w:r w:rsidRPr="00FE1539">
              <w:t>hazards promptly and the potential impact on health if hazards are not spotted</w:t>
            </w:r>
            <w:r w:rsidR="00803B4C" w:rsidRPr="00FE1539">
              <w:t xml:space="preserve"> </w:t>
            </w:r>
            <w:r w:rsidRPr="00FE1539">
              <w:t>and dealt with promptly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FF4282" w:rsidRPr="00CE1EFE" w14:paraId="5285A358" w14:textId="77777777" w:rsidTr="00D543A7">
        <w:trPr>
          <w:cantSplit/>
          <w:trHeight w:val="454"/>
        </w:trPr>
        <w:tc>
          <w:tcPr>
            <w:tcW w:w="11482" w:type="dxa"/>
          </w:tcPr>
          <w:p w14:paraId="6BD5C6C1" w14:textId="1C264F9F" w:rsidR="00FF4282" w:rsidRPr="00FE1539" w:rsidRDefault="00FF4282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importance of risk assessments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6DA52" w14:textId="77777777" w:rsidR="00FF4282" w:rsidRPr="00CE1EFE" w:rsidRDefault="00FF428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2272C" w14:textId="77777777" w:rsidR="00FF4282" w:rsidRPr="00CE1EFE" w:rsidRDefault="00FF4282" w:rsidP="00F85875">
            <w:pPr>
              <w:pStyle w:val="Tabletext"/>
            </w:pPr>
          </w:p>
        </w:tc>
      </w:tr>
      <w:tr w:rsidR="00FF4282" w:rsidRPr="00CE1EFE" w14:paraId="09373085" w14:textId="77777777" w:rsidTr="00D543A7">
        <w:trPr>
          <w:cantSplit/>
          <w:trHeight w:val="454"/>
        </w:trPr>
        <w:tc>
          <w:tcPr>
            <w:tcW w:w="11482" w:type="dxa"/>
          </w:tcPr>
          <w:p w14:paraId="781FC22F" w14:textId="0A853330" w:rsidR="00FF4282" w:rsidRPr="00FE1539" w:rsidRDefault="00D543A7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Types of u</w:t>
            </w:r>
            <w:r w:rsidR="00FF4282" w:rsidRPr="00FE1539">
              <w:t>nsafe behaviour that may impact on the safety of food and why it is important</w:t>
            </w:r>
            <w:r w:rsidRPr="00FE1539">
              <w:t xml:space="preserve"> </w:t>
            </w:r>
            <w:r w:rsidR="00FF4282" w:rsidRPr="00FE1539">
              <w:t xml:space="preserve">to avoid this </w:t>
            </w:r>
            <w:r w:rsidR="00FE1539" w:rsidRPr="00FE1539">
              <w:t xml:space="preserve">   </w:t>
            </w:r>
            <w:r w:rsidR="00FF4282" w:rsidRPr="00FE1539">
              <w:t>type of behaviour when working with food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9790F" w14:textId="77777777" w:rsidR="00FF4282" w:rsidRPr="00CE1EFE" w:rsidRDefault="00FF4282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63B8B" w14:textId="77777777" w:rsidR="00FF4282" w:rsidRPr="00CE1EFE" w:rsidRDefault="00FF4282" w:rsidP="00F85875">
            <w:pPr>
              <w:pStyle w:val="Tabletext"/>
            </w:pPr>
          </w:p>
        </w:tc>
      </w:tr>
      <w:tr w:rsidR="00870644" w:rsidRPr="00CE1EFE" w14:paraId="5666B9A5" w14:textId="77777777" w:rsidTr="00D543A7">
        <w:trPr>
          <w:cantSplit/>
          <w:trHeight w:val="454"/>
        </w:trPr>
        <w:tc>
          <w:tcPr>
            <w:tcW w:w="11482" w:type="dxa"/>
          </w:tcPr>
          <w:p w14:paraId="7948DAB6" w14:textId="3B43D962" w:rsidR="00870644" w:rsidRPr="00FE1539" w:rsidRDefault="00337A93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relevant legal</w:t>
            </w:r>
            <w:r w:rsidR="00D543A7" w:rsidRPr="00FE1539">
              <w:t xml:space="preserve"> </w:t>
            </w:r>
            <w:r w:rsidRPr="00FE1539">
              <w:t>and regulatory requirements for food safety, the importance of complying with</w:t>
            </w:r>
            <w:r w:rsidR="00A77332" w:rsidRPr="00FE1539">
              <w:t xml:space="preserve"> </w:t>
            </w:r>
            <w:r w:rsidRPr="00FE1539">
              <w:t>them, the implications of non-compliance and the role of enforcement officers</w:t>
            </w:r>
            <w:r w:rsidR="00FE1539" w:rsidRP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B819B" w14:textId="77777777" w:rsidR="00870644" w:rsidRPr="00CE1EFE" w:rsidRDefault="0087064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82380" w14:textId="77777777" w:rsidR="00870644" w:rsidRPr="00CE1EFE" w:rsidRDefault="00870644" w:rsidP="00F85875">
            <w:pPr>
              <w:pStyle w:val="Tabletext"/>
            </w:pPr>
          </w:p>
        </w:tc>
      </w:tr>
      <w:tr w:rsidR="009772AA" w:rsidRPr="00CE1EFE" w14:paraId="7EBA7C44" w14:textId="77777777" w:rsidTr="00D543A7">
        <w:trPr>
          <w:cantSplit/>
          <w:trHeight w:val="454"/>
        </w:trPr>
        <w:tc>
          <w:tcPr>
            <w:tcW w:w="11482" w:type="dxa"/>
          </w:tcPr>
          <w:p w14:paraId="550C0F31" w14:textId="267BA799" w:rsidR="009772AA" w:rsidRPr="00FE1539" w:rsidRDefault="00D543A7" w:rsidP="00FE1539">
            <w:pPr>
              <w:pStyle w:val="Tabletextnumbering"/>
              <w:numPr>
                <w:ilvl w:val="0"/>
                <w:numId w:val="15"/>
              </w:numPr>
            </w:pPr>
            <w:r w:rsidRPr="00FE1539">
              <w:t>The importance of, and methods for, separation of raw and cooked foods</w:t>
            </w:r>
            <w:r w:rsidR="00803B4C" w:rsidRPr="00FE1539">
              <w:t xml:space="preserve">; </w:t>
            </w:r>
            <w:r w:rsidRPr="00FE1539">
              <w:t>separation of finished dishes</w:t>
            </w:r>
            <w:r w:rsidR="00FE1539" w:rsidRPr="00FE1539">
              <w:t>.</w:t>
            </w:r>
            <w:r w:rsidRPr="00FE1539"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D543A7">
        <w:trPr>
          <w:cantSplit/>
          <w:trHeight w:val="454"/>
        </w:trPr>
        <w:tc>
          <w:tcPr>
            <w:tcW w:w="11482" w:type="dxa"/>
          </w:tcPr>
          <w:p w14:paraId="533E2B85" w14:textId="3B18BCE3" w:rsidR="009772AA" w:rsidRPr="00CE1EFE" w:rsidRDefault="00D543A7" w:rsidP="00625A27">
            <w:pPr>
              <w:pStyle w:val="Tabletextnumbering"/>
              <w:numPr>
                <w:ilvl w:val="0"/>
                <w:numId w:val="15"/>
              </w:numPr>
            </w:pPr>
            <w:r w:rsidRPr="00337A93">
              <w:lastRenderedPageBreak/>
              <w:t>The temperature danger zone, why food</w:t>
            </w:r>
            <w:r w:rsidR="00A77332">
              <w:t xml:space="preserve"> </w:t>
            </w:r>
            <w:r w:rsidRPr="00337A93">
              <w:t>needs to be kept at specified temperatures and how to ensure</w:t>
            </w:r>
            <w:r>
              <w:t xml:space="preserve"> this</w:t>
            </w:r>
            <w:r w:rsid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D543A7">
        <w:trPr>
          <w:cantSplit/>
          <w:trHeight w:val="454"/>
        </w:trPr>
        <w:tc>
          <w:tcPr>
            <w:tcW w:w="11482" w:type="dxa"/>
          </w:tcPr>
          <w:p w14:paraId="732E82B2" w14:textId="00E805A2" w:rsidR="009772AA" w:rsidRPr="00CE1EFE" w:rsidRDefault="00D543A7" w:rsidP="00625A27">
            <w:pPr>
              <w:pStyle w:val="Tabletextnumbering"/>
              <w:numPr>
                <w:ilvl w:val="0"/>
                <w:numId w:val="15"/>
              </w:numPr>
            </w:pPr>
            <w:r w:rsidRPr="00337A93">
              <w:t>Wha</w:t>
            </w:r>
            <w:r>
              <w:t xml:space="preserve">t </w:t>
            </w:r>
            <w:r w:rsidRPr="00337A93">
              <w:t>procedures to follow when dealing with stock including deliveries, storage,</w:t>
            </w:r>
            <w:r w:rsidR="0054685A">
              <w:t xml:space="preserve"> </w:t>
            </w:r>
            <w:r w:rsidRPr="00337A93">
              <w:t>date marking and stock rotation, and why it is important to consistently follow</w:t>
            </w:r>
            <w:r w:rsidR="00A77332">
              <w:t xml:space="preserve"> </w:t>
            </w:r>
            <w:r w:rsidRPr="00337A93">
              <w:t>them</w:t>
            </w:r>
            <w:r w:rsidR="00FE1539">
              <w:t>.</w:t>
            </w:r>
            <w:r w:rsidRPr="00337A93"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D543A7">
        <w:trPr>
          <w:cantSplit/>
          <w:trHeight w:val="454"/>
        </w:trPr>
        <w:tc>
          <w:tcPr>
            <w:tcW w:w="11482" w:type="dxa"/>
          </w:tcPr>
          <w:p w14:paraId="3560A80D" w14:textId="377221B2" w:rsidR="009772AA" w:rsidRPr="00CE1EFE" w:rsidRDefault="00D543A7" w:rsidP="00625A27">
            <w:pPr>
              <w:pStyle w:val="Tabletextnumbering"/>
              <w:numPr>
                <w:ilvl w:val="0"/>
                <w:numId w:val="15"/>
              </w:numPr>
            </w:pPr>
            <w:r w:rsidRPr="00337A93">
              <w:t>Why it is important to keep work areas and environment clean and</w:t>
            </w:r>
            <w:r w:rsidR="00A77332">
              <w:t xml:space="preserve"> </w:t>
            </w:r>
            <w:r w:rsidRPr="00337A93">
              <w:t>tidy, and tools, utensils and equipment in good order, clean condition and</w:t>
            </w:r>
            <w:r w:rsidR="00A77332">
              <w:t xml:space="preserve"> </w:t>
            </w:r>
            <w:r w:rsidRPr="00337A93">
              <w:t>stored correctly</w:t>
            </w:r>
            <w:r w:rsidR="00FE1539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D543A7">
        <w:trPr>
          <w:cantSplit/>
          <w:trHeight w:val="454"/>
        </w:trPr>
        <w:tc>
          <w:tcPr>
            <w:tcW w:w="11482" w:type="dxa"/>
          </w:tcPr>
          <w:p w14:paraId="22C0B9D3" w14:textId="4343A61F" w:rsidR="009772AA" w:rsidRPr="00CE1EFE" w:rsidRDefault="00D543A7" w:rsidP="00625A27">
            <w:pPr>
              <w:pStyle w:val="Tabletextnumbering"/>
              <w:numPr>
                <w:ilvl w:val="0"/>
                <w:numId w:val="15"/>
              </w:numPr>
            </w:pPr>
            <w:r w:rsidRPr="00337A93">
              <w:t>How the methods and frequency of cleaning and</w:t>
            </w:r>
            <w:r w:rsidR="00A77332">
              <w:t xml:space="preserve"> </w:t>
            </w:r>
            <w:r w:rsidRPr="00337A93">
              <w:t>maintenance of equipment, surfaces and environment affect food safety in the</w:t>
            </w:r>
            <w:r w:rsidR="00A77332">
              <w:t xml:space="preserve"> </w:t>
            </w:r>
            <w:r w:rsidRPr="00337A93">
              <w:t>workplace</w:t>
            </w:r>
            <w:r w:rsidR="00FE1539">
              <w:t>.</w:t>
            </w:r>
            <w: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D543A7">
        <w:trPr>
          <w:cantSplit/>
          <w:trHeight w:val="454"/>
        </w:trPr>
        <w:tc>
          <w:tcPr>
            <w:tcW w:w="11482" w:type="dxa"/>
          </w:tcPr>
          <w:p w14:paraId="0AE53AC0" w14:textId="340B4717" w:rsidR="009772AA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The actions that should be taken in response to spotting a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potential hazard, including the correct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person to whom issues should be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reported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781588" w:rsidRPr="00CE1EFE" w14:paraId="1F7CE83E" w14:textId="77777777" w:rsidTr="00D543A7">
        <w:trPr>
          <w:cantSplit/>
          <w:trHeight w:val="454"/>
        </w:trPr>
        <w:tc>
          <w:tcPr>
            <w:tcW w:w="11482" w:type="dxa"/>
          </w:tcPr>
          <w:p w14:paraId="5D36EA6F" w14:textId="3D44AF5F" w:rsidR="00781588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The types of food waste which can occur in the workplace and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how it should be safely handled in the workplace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C97F1" w14:textId="77777777" w:rsidR="00781588" w:rsidRPr="00CE1EFE" w:rsidRDefault="0078158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EDB671" w14:textId="77777777" w:rsidR="00781588" w:rsidRPr="00CE1EFE" w:rsidRDefault="00781588" w:rsidP="00F85875">
            <w:pPr>
              <w:pStyle w:val="Tabletext"/>
            </w:pPr>
          </w:p>
        </w:tc>
      </w:tr>
      <w:tr w:rsidR="00781588" w:rsidRPr="00CE1EFE" w14:paraId="159E1A22" w14:textId="77777777" w:rsidTr="00D543A7">
        <w:trPr>
          <w:cantSplit/>
          <w:trHeight w:val="454"/>
        </w:trPr>
        <w:tc>
          <w:tcPr>
            <w:tcW w:w="11482" w:type="dxa"/>
          </w:tcPr>
          <w:p w14:paraId="6BC901EE" w14:textId="61B6663A" w:rsidR="00781588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The main types of pests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that you may find in catering operations, how to identify the signs that they are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there, pests and infestation that may pose a risk to the safety of food, how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they can occur, how to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recognise them and how to prevent them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BF682" w14:textId="77777777" w:rsidR="00781588" w:rsidRPr="00CE1EFE" w:rsidRDefault="0078158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C9431" w14:textId="77777777" w:rsidR="00781588" w:rsidRPr="00CE1EFE" w:rsidRDefault="00781588" w:rsidP="00F85875">
            <w:pPr>
              <w:pStyle w:val="Tabletext"/>
            </w:pPr>
          </w:p>
        </w:tc>
      </w:tr>
      <w:tr w:rsidR="00D543A7" w:rsidRPr="00CE1EFE" w14:paraId="1E6258F3" w14:textId="77777777" w:rsidTr="00D543A7">
        <w:trPr>
          <w:cantSplit/>
          <w:trHeight w:val="454"/>
        </w:trPr>
        <w:tc>
          <w:tcPr>
            <w:tcW w:w="11482" w:type="dxa"/>
          </w:tcPr>
          <w:p w14:paraId="7B475392" w14:textId="18243117" w:rsidR="00D543A7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Why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surfaces and equipment must be clean before beginning a new task and how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to do so</w:t>
            </w:r>
            <w:r w:rsidR="00D752B6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DF19D" w14:textId="77777777" w:rsidR="00D543A7" w:rsidRPr="00CE1EFE" w:rsidRDefault="00D543A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B0242" w14:textId="77777777" w:rsidR="00D543A7" w:rsidRPr="00CE1EFE" w:rsidRDefault="00D543A7" w:rsidP="00F85875">
            <w:pPr>
              <w:pStyle w:val="Tabletext"/>
            </w:pPr>
          </w:p>
        </w:tc>
      </w:tr>
      <w:tr w:rsidR="00D543A7" w:rsidRPr="00CE1EFE" w14:paraId="3BEA7DCC" w14:textId="77777777" w:rsidTr="00D543A7">
        <w:trPr>
          <w:cantSplit/>
          <w:trHeight w:val="454"/>
        </w:trPr>
        <w:tc>
          <w:tcPr>
            <w:tcW w:w="11482" w:type="dxa"/>
          </w:tcPr>
          <w:p w14:paraId="7BEC8973" w14:textId="333F6EA9" w:rsidR="00D543A7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Why it is important only to use clean and suitable cloths and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equipment when cleaning between tasks and how to do so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1FC1C" w14:textId="77777777" w:rsidR="00D543A7" w:rsidRPr="00CE1EFE" w:rsidRDefault="00D543A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1976A" w14:textId="77777777" w:rsidR="00D543A7" w:rsidRPr="00CE1EFE" w:rsidRDefault="00D543A7" w:rsidP="00F85875">
            <w:pPr>
              <w:pStyle w:val="Tabletext"/>
            </w:pPr>
          </w:p>
        </w:tc>
      </w:tr>
      <w:tr w:rsidR="00D543A7" w:rsidRPr="00CE1EFE" w14:paraId="1A81B7EE" w14:textId="77777777" w:rsidTr="00803B4C">
        <w:trPr>
          <w:cantSplit/>
          <w:trHeight w:val="19"/>
        </w:trPr>
        <w:tc>
          <w:tcPr>
            <w:tcW w:w="11482" w:type="dxa"/>
          </w:tcPr>
          <w:p w14:paraId="091FCC89" w14:textId="74127F78" w:rsidR="00D543A7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Why surfaces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and equipment that are damaged or have loose parts can be dangerous to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food safety and the types of damaged surfaces and equipment that can cause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food safety hazards and what to do about them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F64F4E" w14:textId="77777777" w:rsidR="00D543A7" w:rsidRPr="00CE1EFE" w:rsidRDefault="00D543A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D2B45" w14:textId="77777777" w:rsidR="00D543A7" w:rsidRPr="00CE1EFE" w:rsidRDefault="00D543A7" w:rsidP="00F85875">
            <w:pPr>
              <w:pStyle w:val="Tabletext"/>
            </w:pPr>
          </w:p>
        </w:tc>
      </w:tr>
      <w:tr w:rsidR="00D543A7" w:rsidRPr="00CE1EFE" w14:paraId="3672ACF0" w14:textId="77777777" w:rsidTr="00D543A7">
        <w:trPr>
          <w:cantSplit/>
          <w:trHeight w:val="454"/>
        </w:trPr>
        <w:tc>
          <w:tcPr>
            <w:tcW w:w="11482" w:type="dxa"/>
          </w:tcPr>
          <w:p w14:paraId="605497C5" w14:textId="4F094048" w:rsidR="00D543A7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ascii="ArialMT" w:eastAsia="Calibri" w:hAnsi="ArialMT" w:cs="ArialMT"/>
                <w:szCs w:val="24"/>
                <w:lang w:eastAsia="en-GB" w:bidi="ar-SA"/>
              </w:rPr>
            </w:pP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Why it is important to</w:t>
            </w:r>
            <w:r w:rsid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>clear and dispose of waste promptly and safely and how to do so</w:t>
            </w:r>
            <w:r w:rsidR="00FE1539">
              <w:rPr>
                <w:rFonts w:ascii="ArialMT" w:eastAsia="Calibri" w:hAnsi="ArialMT" w:cs="ArialMT"/>
                <w:szCs w:val="24"/>
                <w:lang w:eastAsia="en-GB" w:bidi="ar-SA"/>
              </w:rPr>
              <w:t>.</w:t>
            </w:r>
            <w:r w:rsidRPr="00A77332">
              <w:rPr>
                <w:rFonts w:ascii="ArialMT" w:eastAsia="Calibri" w:hAnsi="ArialMT" w:cs="ArialMT"/>
                <w:szCs w:val="24"/>
                <w:lang w:eastAsia="en-GB" w:bidi="ar-SA"/>
              </w:rPr>
              <w:t xml:space="preserve">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F59A7" w14:textId="77777777" w:rsidR="00D543A7" w:rsidRPr="00CE1EFE" w:rsidRDefault="00D543A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F2387" w14:textId="77777777" w:rsidR="00D543A7" w:rsidRPr="00CE1EFE" w:rsidRDefault="00D543A7" w:rsidP="00F85875">
            <w:pPr>
              <w:pStyle w:val="Tabletext"/>
            </w:pPr>
          </w:p>
        </w:tc>
      </w:tr>
      <w:tr w:rsidR="00D543A7" w:rsidRPr="00CE1EFE" w14:paraId="4C47FBE8" w14:textId="77777777" w:rsidTr="00D543A7">
        <w:trPr>
          <w:cantSplit/>
          <w:trHeight w:val="454"/>
        </w:trPr>
        <w:tc>
          <w:tcPr>
            <w:tcW w:w="11482" w:type="dxa"/>
          </w:tcPr>
          <w:p w14:paraId="2FD93CE3" w14:textId="31C7ECB2" w:rsidR="00D543A7" w:rsidRPr="00A77332" w:rsidRDefault="00D543A7" w:rsidP="00625A27">
            <w:pPr>
              <w:pStyle w:val="Tabletextnumbering"/>
              <w:numPr>
                <w:ilvl w:val="0"/>
                <w:numId w:val="15"/>
              </w:numPr>
              <w:rPr>
                <w:rFonts w:eastAsia="Calibri"/>
                <w:lang w:eastAsia="en-GB" w:bidi="ar-SA"/>
              </w:rPr>
            </w:pPr>
            <w:r w:rsidRPr="00A77332">
              <w:rPr>
                <w:rFonts w:eastAsia="Calibri"/>
                <w:lang w:eastAsia="en-GB" w:bidi="ar-SA"/>
              </w:rPr>
              <w:lastRenderedPageBreak/>
              <w:t>How</w:t>
            </w:r>
            <w:r w:rsidR="00A77332">
              <w:rPr>
                <w:rFonts w:eastAsia="Calibri"/>
                <w:lang w:eastAsia="en-GB" w:bidi="ar-SA"/>
              </w:rPr>
              <w:t xml:space="preserve"> </w:t>
            </w:r>
            <w:r w:rsidRPr="00A77332">
              <w:rPr>
                <w:rFonts w:eastAsia="Calibri"/>
                <w:lang w:eastAsia="en-GB" w:bidi="ar-SA"/>
              </w:rPr>
              <w:t>damage to walls, floors, ceilings, furniture and fittings can cause food safety</w:t>
            </w:r>
            <w:r w:rsidR="00A77332">
              <w:rPr>
                <w:rFonts w:eastAsia="Calibri"/>
                <w:lang w:eastAsia="en-GB" w:bidi="ar-SA"/>
              </w:rPr>
              <w:t xml:space="preserve"> </w:t>
            </w:r>
            <w:r w:rsidRPr="00A77332">
              <w:rPr>
                <w:rFonts w:eastAsia="Calibri"/>
                <w:lang w:eastAsia="en-GB" w:bidi="ar-SA"/>
              </w:rPr>
              <w:t>hazards and the type</w:t>
            </w:r>
            <w:r w:rsidR="00FE1539">
              <w:rPr>
                <w:rFonts w:eastAsia="Calibri"/>
                <w:lang w:eastAsia="en-GB" w:bidi="ar-SA"/>
              </w:rPr>
              <w:t xml:space="preserve"> </w:t>
            </w:r>
            <w:r w:rsidR="00D752B6">
              <w:rPr>
                <w:rFonts w:eastAsia="Calibri"/>
                <w:lang w:eastAsia="en-GB" w:bidi="ar-SA"/>
              </w:rPr>
              <w:t>o</w:t>
            </w:r>
            <w:r w:rsidRPr="00A77332">
              <w:rPr>
                <w:rFonts w:eastAsia="Calibri"/>
                <w:lang w:eastAsia="en-GB" w:bidi="ar-SA"/>
              </w:rPr>
              <w:t>f damage you should look for</w:t>
            </w:r>
            <w:r w:rsidR="00FE1539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19CBE" w14:textId="77777777" w:rsidR="00D543A7" w:rsidRPr="00CE1EFE" w:rsidRDefault="00D543A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6FB6B" w14:textId="77777777" w:rsidR="00D543A7" w:rsidRPr="00CE1EFE" w:rsidRDefault="00D543A7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F7550B2" w:rsidR="007C2206" w:rsidRPr="007F19F4" w:rsidRDefault="00B41776" w:rsidP="00542753">
    <w:pPr>
      <w:pStyle w:val="Footer"/>
      <w:pBdr>
        <w:top w:val="single" w:sz="4" w:space="1" w:color="auto"/>
      </w:pBdr>
    </w:pPr>
    <w:r>
      <w:t xml:space="preserve">PPL2GEN5 </w:t>
    </w:r>
    <w:r w:rsidR="009C296C" w:rsidRPr="00EC3E42">
      <w:t>(</w:t>
    </w:r>
    <w:r w:rsidR="009E4D10">
      <w:t>J8HN 04</w:t>
    </w:r>
    <w:r w:rsidR="009C296C" w:rsidRPr="00EC3E42">
      <w:t xml:space="preserve">) </w:t>
    </w:r>
    <w:r w:rsidRPr="00B41776">
      <w:t>Maintain Food Safety in a Hospitality Environment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3E02" w14:textId="4CC31584" w:rsidR="00F27185" w:rsidRPr="009E4D10" w:rsidRDefault="009E4D10" w:rsidP="009E4D10">
    <w:pPr>
      <w:pStyle w:val="Footer"/>
      <w:pBdr>
        <w:top w:val="single" w:sz="4" w:space="1" w:color="auto"/>
      </w:pBdr>
    </w:pPr>
    <w:r>
      <w:t xml:space="preserve">PPL2GEN5 </w:t>
    </w:r>
    <w:r w:rsidRPr="00EC3E42">
      <w:t>(</w:t>
    </w:r>
    <w:r>
      <w:t>J8HN 04</w:t>
    </w:r>
    <w:r w:rsidRPr="00EC3E42">
      <w:t xml:space="preserve">) </w:t>
    </w:r>
    <w:r w:rsidRPr="00B41776">
      <w:t>Maintain Food Safety in a Hospitality Environment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E383F8F"/>
    <w:multiLevelType w:val="hybridMultilevel"/>
    <w:tmpl w:val="62EC6C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624F24"/>
    <w:multiLevelType w:val="hybridMultilevel"/>
    <w:tmpl w:val="94CA758A"/>
    <w:lvl w:ilvl="0" w:tplc="38EE90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1C53"/>
    <w:multiLevelType w:val="hybridMultilevel"/>
    <w:tmpl w:val="857EC7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7D1307"/>
    <w:multiLevelType w:val="hybridMultilevel"/>
    <w:tmpl w:val="F0C0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B6F12"/>
    <w:multiLevelType w:val="hybridMultilevel"/>
    <w:tmpl w:val="C6A2B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32F3F"/>
    <w:multiLevelType w:val="hybridMultilevel"/>
    <w:tmpl w:val="24B80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72F0"/>
    <w:multiLevelType w:val="hybridMultilevel"/>
    <w:tmpl w:val="894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10"/>
  </w:num>
  <w:num w:numId="3" w16cid:durableId="359866569">
    <w:abstractNumId w:val="0"/>
    <w:lvlOverride w:ilvl="0">
      <w:startOverride w:val="1"/>
    </w:lvlOverride>
  </w:num>
  <w:num w:numId="4" w16cid:durableId="1991864946">
    <w:abstractNumId w:val="9"/>
  </w:num>
  <w:num w:numId="5" w16cid:durableId="386151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8408782">
    <w:abstractNumId w:val="5"/>
  </w:num>
  <w:num w:numId="10" w16cid:durableId="953749047">
    <w:abstractNumId w:val="7"/>
  </w:num>
  <w:num w:numId="11" w16cid:durableId="902721071">
    <w:abstractNumId w:val="8"/>
  </w:num>
  <w:num w:numId="12" w16cid:durableId="1132868081">
    <w:abstractNumId w:val="3"/>
  </w:num>
  <w:num w:numId="13" w16cid:durableId="946695713">
    <w:abstractNumId w:val="6"/>
  </w:num>
  <w:num w:numId="14" w16cid:durableId="155074872">
    <w:abstractNumId w:val="1"/>
  </w:num>
  <w:num w:numId="15" w16cid:durableId="40858216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5074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47506"/>
    <w:rsid w:val="00052070"/>
    <w:rsid w:val="00053F8C"/>
    <w:rsid w:val="00067361"/>
    <w:rsid w:val="00074A79"/>
    <w:rsid w:val="00084ADE"/>
    <w:rsid w:val="000878F9"/>
    <w:rsid w:val="00093275"/>
    <w:rsid w:val="00094917"/>
    <w:rsid w:val="000C7741"/>
    <w:rsid w:val="000E2EEB"/>
    <w:rsid w:val="000F1925"/>
    <w:rsid w:val="000F7242"/>
    <w:rsid w:val="001114CF"/>
    <w:rsid w:val="00114387"/>
    <w:rsid w:val="0012010E"/>
    <w:rsid w:val="00123C0A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A1B89"/>
    <w:rsid w:val="001B587D"/>
    <w:rsid w:val="001B7FB8"/>
    <w:rsid w:val="001C6E7B"/>
    <w:rsid w:val="001C7A60"/>
    <w:rsid w:val="001D4C99"/>
    <w:rsid w:val="001D75A1"/>
    <w:rsid w:val="001E24D9"/>
    <w:rsid w:val="002110E1"/>
    <w:rsid w:val="0021115B"/>
    <w:rsid w:val="00220153"/>
    <w:rsid w:val="002257CE"/>
    <w:rsid w:val="002356BA"/>
    <w:rsid w:val="002376B2"/>
    <w:rsid w:val="00250577"/>
    <w:rsid w:val="00264F20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4AEE"/>
    <w:rsid w:val="00337168"/>
    <w:rsid w:val="00337A93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37F6E"/>
    <w:rsid w:val="00455B8C"/>
    <w:rsid w:val="00461DA8"/>
    <w:rsid w:val="00463972"/>
    <w:rsid w:val="0046782E"/>
    <w:rsid w:val="00473159"/>
    <w:rsid w:val="00475780"/>
    <w:rsid w:val="00475E51"/>
    <w:rsid w:val="004805E2"/>
    <w:rsid w:val="004937C1"/>
    <w:rsid w:val="004A7E98"/>
    <w:rsid w:val="004C70F0"/>
    <w:rsid w:val="004C7258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4685A"/>
    <w:rsid w:val="0055246F"/>
    <w:rsid w:val="005545E0"/>
    <w:rsid w:val="00557C2B"/>
    <w:rsid w:val="00563AF6"/>
    <w:rsid w:val="00570707"/>
    <w:rsid w:val="00570F9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0B73"/>
    <w:rsid w:val="006225A5"/>
    <w:rsid w:val="00625A27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1588"/>
    <w:rsid w:val="00784536"/>
    <w:rsid w:val="007A171E"/>
    <w:rsid w:val="007A49C0"/>
    <w:rsid w:val="007A4A0B"/>
    <w:rsid w:val="007C0314"/>
    <w:rsid w:val="007C1E5F"/>
    <w:rsid w:val="007C2206"/>
    <w:rsid w:val="007C441F"/>
    <w:rsid w:val="007C4FD0"/>
    <w:rsid w:val="007C6081"/>
    <w:rsid w:val="007C6C2F"/>
    <w:rsid w:val="007D6B87"/>
    <w:rsid w:val="007E2C2E"/>
    <w:rsid w:val="007E3097"/>
    <w:rsid w:val="007E593A"/>
    <w:rsid w:val="007E6E55"/>
    <w:rsid w:val="007F19F4"/>
    <w:rsid w:val="00803B4C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2CA4"/>
    <w:rsid w:val="008418C2"/>
    <w:rsid w:val="00854CEF"/>
    <w:rsid w:val="00857484"/>
    <w:rsid w:val="00865B63"/>
    <w:rsid w:val="00870644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E4D10"/>
    <w:rsid w:val="009F0AEC"/>
    <w:rsid w:val="009F78B7"/>
    <w:rsid w:val="00A04E57"/>
    <w:rsid w:val="00A052F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77332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1776"/>
    <w:rsid w:val="00B42EA0"/>
    <w:rsid w:val="00B45DC2"/>
    <w:rsid w:val="00B54760"/>
    <w:rsid w:val="00B55A19"/>
    <w:rsid w:val="00B62FBF"/>
    <w:rsid w:val="00B65653"/>
    <w:rsid w:val="00B65A83"/>
    <w:rsid w:val="00B663C3"/>
    <w:rsid w:val="00B67E7D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043AE"/>
    <w:rsid w:val="00D26563"/>
    <w:rsid w:val="00D43CBC"/>
    <w:rsid w:val="00D516B1"/>
    <w:rsid w:val="00D543A7"/>
    <w:rsid w:val="00D554F8"/>
    <w:rsid w:val="00D744DF"/>
    <w:rsid w:val="00D752B6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07160"/>
    <w:rsid w:val="00F11177"/>
    <w:rsid w:val="00F1158C"/>
    <w:rsid w:val="00F27185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C6249"/>
    <w:rsid w:val="00FD0AAF"/>
    <w:rsid w:val="00FD2D45"/>
    <w:rsid w:val="00FE1539"/>
    <w:rsid w:val="00FE4958"/>
    <w:rsid w:val="00FF34A1"/>
    <w:rsid w:val="00FF4282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258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4C7258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5799</TotalTime>
  <Pages>14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14</cp:revision>
  <cp:lastPrinted>2017-03-28T15:41:00Z</cp:lastPrinted>
  <dcterms:created xsi:type="dcterms:W3CDTF">2024-08-28T15:09:00Z</dcterms:created>
  <dcterms:modified xsi:type="dcterms:W3CDTF">2024-10-28T09:39:00Z</dcterms:modified>
</cp:coreProperties>
</file>