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949C" w14:textId="64E8E9C4" w:rsidR="00EE37F0" w:rsidRPr="002D6802" w:rsidRDefault="00757A64">
      <w:pPr>
        <w:rPr>
          <w:b/>
          <w:bCs/>
        </w:rPr>
      </w:pPr>
      <w:r>
        <w:rPr>
          <w:b/>
          <w:bCs/>
        </w:rPr>
        <w:t xml:space="preserve">REVIEW </w:t>
      </w:r>
      <w:r w:rsidR="000B7EEE">
        <w:rPr>
          <w:b/>
          <w:bCs/>
        </w:rPr>
        <w:t>OF HIGHER HISTORY</w:t>
      </w:r>
      <w:r w:rsidR="003E67CF">
        <w:rPr>
          <w:b/>
          <w:bCs/>
        </w:rPr>
        <w:t xml:space="preserve"> 2024</w:t>
      </w:r>
      <w:r w:rsidR="000B7EEE">
        <w:rPr>
          <w:b/>
          <w:bCs/>
        </w:rPr>
        <w:t xml:space="preserve"> </w:t>
      </w:r>
      <w:r w:rsidR="003F4725">
        <w:rPr>
          <w:b/>
          <w:bCs/>
        </w:rPr>
        <w:t>– KEY MESSAGES AND Q&amp;A</w:t>
      </w:r>
      <w:r w:rsidR="005E6BBA">
        <w:rPr>
          <w:b/>
          <w:bCs/>
        </w:rPr>
        <w:t xml:space="preserve"> </w:t>
      </w:r>
    </w:p>
    <w:p w14:paraId="34773A44" w14:textId="77777777" w:rsidR="003F4725" w:rsidRDefault="003F4725">
      <w:r>
        <w:t xml:space="preserve">KEY MESSAGES </w:t>
      </w:r>
    </w:p>
    <w:p w14:paraId="1AF2D2D9" w14:textId="454610DF" w:rsidR="00AB710A" w:rsidRDefault="0074402A">
      <w:r>
        <w:t>The</w:t>
      </w:r>
      <w:r w:rsidR="00AB710A">
        <w:t xml:space="preserve"> r</w:t>
      </w:r>
      <w:r w:rsidR="00FC44D0">
        <w:t xml:space="preserve">eview of Higher History has concluded that </w:t>
      </w:r>
      <w:r w:rsidR="57EA3908">
        <w:t xml:space="preserve">the </w:t>
      </w:r>
      <w:r w:rsidR="00F5266A">
        <w:t xml:space="preserve">marking </w:t>
      </w:r>
      <w:r w:rsidR="00FC44D0">
        <w:t xml:space="preserve">standard </w:t>
      </w:r>
      <w:r w:rsidR="00F90ED7">
        <w:t xml:space="preserve">in 2024 </w:t>
      </w:r>
      <w:r w:rsidR="036274EF">
        <w:t>did</w:t>
      </w:r>
      <w:r w:rsidR="00FC44D0">
        <w:t xml:space="preserve"> not</w:t>
      </w:r>
      <w:r w:rsidR="00752329">
        <w:t xml:space="preserve"> </w:t>
      </w:r>
      <w:r w:rsidR="036274EF">
        <w:t>change</w:t>
      </w:r>
      <w:r w:rsidR="0047340E">
        <w:t>.</w:t>
      </w:r>
    </w:p>
    <w:p w14:paraId="5601E97C" w14:textId="5C31D6B2" w:rsidR="00AB710A" w:rsidRDefault="00AB710A">
      <w:r>
        <w:t>T</w:t>
      </w:r>
      <w:r w:rsidR="00F90ED7">
        <w:t xml:space="preserve">he </w:t>
      </w:r>
      <w:r w:rsidR="783AA3C2">
        <w:t>marking and grading</w:t>
      </w:r>
      <w:r w:rsidR="008256C3">
        <w:t xml:space="preserve"> processe</w:t>
      </w:r>
      <w:r w:rsidR="00DC1109">
        <w:t>s</w:t>
      </w:r>
      <w:r w:rsidR="783AA3C2">
        <w:t xml:space="preserve"> </w:t>
      </w:r>
      <w:r>
        <w:t xml:space="preserve">all </w:t>
      </w:r>
      <w:r w:rsidR="783AA3C2">
        <w:t>worked as intended</w:t>
      </w:r>
      <w:r w:rsidR="00343C9C">
        <w:t xml:space="preserve"> </w:t>
      </w:r>
      <w:r w:rsidR="009F7E06">
        <w:t>and the exam team acted with integrity throughout</w:t>
      </w:r>
      <w:r w:rsidR="0047340E">
        <w:t>.</w:t>
      </w:r>
    </w:p>
    <w:p w14:paraId="27A974CB" w14:textId="694D07CC" w:rsidR="00752329" w:rsidRDefault="5CC3E989">
      <w:r>
        <w:t>L</w:t>
      </w:r>
      <w:r w:rsidR="00752329">
        <w:t>earners were not disadvantaged</w:t>
      </w:r>
      <w:r w:rsidR="7938B2A8">
        <w:t xml:space="preserve"> and the attainment rate for </w:t>
      </w:r>
      <w:r w:rsidR="51B9F857">
        <w:t>Higher History accurately reflected their performance</w:t>
      </w:r>
      <w:r w:rsidR="00752329">
        <w:t>.</w:t>
      </w:r>
    </w:p>
    <w:p w14:paraId="59000F93" w14:textId="71FA0162" w:rsidR="00CD10B4" w:rsidRDefault="005B0886" w:rsidP="00CD10B4">
      <w:r>
        <w:t>Independent, e</w:t>
      </w:r>
      <w:r w:rsidR="00491C21">
        <w:t>xternal</w:t>
      </w:r>
      <w:r>
        <w:t xml:space="preserve"> </w:t>
      </w:r>
      <w:r w:rsidR="00491C21">
        <w:t xml:space="preserve">scrutiny of the review </w:t>
      </w:r>
      <w:r w:rsidR="00CD10B4">
        <w:t xml:space="preserve">has endorsed the findings and confirmed the evidence supports the report’s conclusions. </w:t>
      </w:r>
    </w:p>
    <w:p w14:paraId="62775780" w14:textId="3717F597" w:rsidR="0071639C" w:rsidRDefault="00D07CB8" w:rsidP="00D07CB8">
      <w:r>
        <w:t>The review was ordered by the Chief Examiner in the interest</w:t>
      </w:r>
      <w:r w:rsidR="0071639C">
        <w:t xml:space="preserve"> of maintaining public confidence in SQA’s </w:t>
      </w:r>
      <w:r w:rsidR="00F91F9F">
        <w:t>assessment</w:t>
      </w:r>
      <w:r w:rsidR="00E25C6A">
        <w:t xml:space="preserve"> and awarding processes, and in particular this year’s Higher History results </w:t>
      </w:r>
      <w:r w:rsidR="00F91F9F">
        <w:t xml:space="preserve">- </w:t>
      </w:r>
      <w:r w:rsidR="00AF7C40">
        <w:t>a number of concerns had been raised about the marking standard for Higher History in the media, on social media and directly with SQA.</w:t>
      </w:r>
    </w:p>
    <w:p w14:paraId="6E2F55E2" w14:textId="1A6E2772" w:rsidR="007028B8" w:rsidRDefault="1FE46413" w:rsidP="007028B8">
      <w:r>
        <w:t xml:space="preserve">The review </w:t>
      </w:r>
      <w:r w:rsidR="00752329">
        <w:t>was carried out by SQA’s Head of Standards</w:t>
      </w:r>
      <w:r w:rsidR="7666C352">
        <w:t xml:space="preserve"> with support </w:t>
      </w:r>
      <w:r w:rsidR="009108D6">
        <w:t xml:space="preserve">and oversight </w:t>
      </w:r>
      <w:r w:rsidR="7666C352">
        <w:t>from the Director of Policy, Analysis and Standards</w:t>
      </w:r>
      <w:r w:rsidR="00752329">
        <w:t xml:space="preserve">, </w:t>
      </w:r>
      <w:r w:rsidR="00957FAB">
        <w:t xml:space="preserve">neither of whom </w:t>
      </w:r>
      <w:r w:rsidR="00752329">
        <w:t>had</w:t>
      </w:r>
      <w:r w:rsidR="002A7BEA">
        <w:t xml:space="preserve"> any </w:t>
      </w:r>
      <w:r w:rsidR="00752329">
        <w:t xml:space="preserve">prior involvement in the marking or grading of Higher History. </w:t>
      </w:r>
    </w:p>
    <w:p w14:paraId="1970A39E" w14:textId="22256AFE" w:rsidR="00A0094E" w:rsidRDefault="000712CE">
      <w:r>
        <w:t>K</w:t>
      </w:r>
      <w:r w:rsidR="00712C23">
        <w:t xml:space="preserve">ey </w:t>
      </w:r>
      <w:r w:rsidR="0FB1045F">
        <w:t>points</w:t>
      </w:r>
      <w:r w:rsidR="00712C23">
        <w:t xml:space="preserve"> </w:t>
      </w:r>
      <w:r w:rsidR="40197149">
        <w:t>of</w:t>
      </w:r>
      <w:r w:rsidR="00665FFB">
        <w:t xml:space="preserve"> the </w:t>
      </w:r>
      <w:r w:rsidR="00C5544A">
        <w:t xml:space="preserve">review report </w:t>
      </w:r>
      <w:r w:rsidR="00F51C38">
        <w:t>are</w:t>
      </w:r>
      <w:r w:rsidR="00C5544A">
        <w:t>:</w:t>
      </w:r>
    </w:p>
    <w:p w14:paraId="268B4C3F" w14:textId="7F7D0ABA" w:rsidR="00BF11D2" w:rsidRDefault="00900E87" w:rsidP="00BF11D2">
      <w:pPr>
        <w:pStyle w:val="ListParagraph"/>
        <w:numPr>
          <w:ilvl w:val="0"/>
          <w:numId w:val="5"/>
        </w:numPr>
      </w:pPr>
      <w:r>
        <w:t xml:space="preserve">The </w:t>
      </w:r>
      <w:r w:rsidR="00BF11D2">
        <w:t xml:space="preserve">Higher History </w:t>
      </w:r>
      <w:r>
        <w:t xml:space="preserve">team was experienced and </w:t>
      </w:r>
      <w:r w:rsidR="00BF11D2">
        <w:t>took no action to change the marking standard</w:t>
      </w:r>
      <w:r w:rsidR="0A772716">
        <w:t xml:space="preserve"> in 2024</w:t>
      </w:r>
    </w:p>
    <w:p w14:paraId="48F8C8E7" w14:textId="43348035" w:rsidR="00BF11D2" w:rsidRDefault="00900E87" w:rsidP="00BF11D2">
      <w:pPr>
        <w:pStyle w:val="ListParagraph"/>
        <w:numPr>
          <w:ilvl w:val="0"/>
          <w:numId w:val="5"/>
        </w:numPr>
      </w:pPr>
      <w:r>
        <w:t>M</w:t>
      </w:r>
      <w:r w:rsidRPr="00A6545D">
        <w:t xml:space="preserve">arking instructions </w:t>
      </w:r>
      <w:r w:rsidR="00BF11D2">
        <w:t xml:space="preserve">in 2024 </w:t>
      </w:r>
      <w:r w:rsidRPr="00A6545D">
        <w:t xml:space="preserve">included more points of detail to ensure better </w:t>
      </w:r>
      <w:r w:rsidR="00BF11D2">
        <w:t xml:space="preserve">consistency of </w:t>
      </w:r>
      <w:r w:rsidRPr="00A6545D">
        <w:t>marking</w:t>
      </w:r>
      <w:r w:rsidR="00BF11D2">
        <w:t xml:space="preserve"> </w:t>
      </w:r>
      <w:r>
        <w:t>– this is normal practice</w:t>
      </w:r>
    </w:p>
    <w:p w14:paraId="0B4032B8" w14:textId="48CFED45" w:rsidR="00BF11D2" w:rsidRDefault="00BF11D2" w:rsidP="00BF11D2">
      <w:pPr>
        <w:pStyle w:val="ListParagraph"/>
        <w:numPr>
          <w:ilvl w:val="0"/>
          <w:numId w:val="5"/>
        </w:numPr>
      </w:pPr>
      <w:r>
        <w:t>L</w:t>
      </w:r>
      <w:r w:rsidRPr="00A6545D">
        <w:t xml:space="preserve">earners were not required to provide more detailed responses </w:t>
      </w:r>
      <w:r w:rsidR="00AB56B1">
        <w:t xml:space="preserve">in order to obtain marks </w:t>
      </w:r>
      <w:r w:rsidR="00302CC1">
        <w:t xml:space="preserve">than in </w:t>
      </w:r>
      <w:r w:rsidRPr="00A6545D">
        <w:t>previous years</w:t>
      </w:r>
      <w:r w:rsidR="00795FD2">
        <w:t xml:space="preserve"> </w:t>
      </w:r>
    </w:p>
    <w:p w14:paraId="38E6666E" w14:textId="43B9448B" w:rsidR="00BF11D2" w:rsidRDefault="003D7CF5" w:rsidP="00BF11D2">
      <w:pPr>
        <w:pStyle w:val="ListParagraph"/>
        <w:numPr>
          <w:ilvl w:val="0"/>
          <w:numId w:val="5"/>
        </w:numPr>
      </w:pPr>
      <w:r>
        <w:t>T</w:t>
      </w:r>
      <w:r w:rsidRPr="00164E8C">
        <w:t xml:space="preserve">he overwhelming feedback </w:t>
      </w:r>
      <w:r>
        <w:t>from markers</w:t>
      </w:r>
      <w:r w:rsidR="00A7342B">
        <w:t>, who are all teachers,</w:t>
      </w:r>
      <w:r>
        <w:t xml:space="preserve"> </w:t>
      </w:r>
      <w:r w:rsidRPr="00164E8C">
        <w:t xml:space="preserve">was </w:t>
      </w:r>
      <w:r w:rsidR="00BF11D2">
        <w:t xml:space="preserve">about </w:t>
      </w:r>
      <w:r w:rsidRPr="00164E8C">
        <w:t>the poor standard of performance</w:t>
      </w:r>
      <w:r>
        <w:t xml:space="preserve"> - </w:t>
      </w:r>
      <w:r w:rsidR="00BF11D2">
        <w:t xml:space="preserve">81% </w:t>
      </w:r>
      <w:r w:rsidR="00D87673">
        <w:t xml:space="preserve">(56 out of 69) </w:t>
      </w:r>
      <w:r w:rsidR="00BF11D2">
        <w:t>of markers provided feedback saying that learner performance on the Scottish history paper was lower or much lower than in 2023</w:t>
      </w:r>
    </w:p>
    <w:p w14:paraId="79F45C87" w14:textId="2FC68CDC" w:rsidR="00BF11D2" w:rsidRDefault="00BF11D2" w:rsidP="00BF11D2">
      <w:pPr>
        <w:pStyle w:val="ListParagraph"/>
        <w:numPr>
          <w:ilvl w:val="0"/>
          <w:numId w:val="5"/>
        </w:numPr>
      </w:pPr>
      <w:r>
        <w:t xml:space="preserve">Variation in marking is not </w:t>
      </w:r>
      <w:r w:rsidR="003D7CF5">
        <w:t xml:space="preserve">uncommon but </w:t>
      </w:r>
      <w:r>
        <w:t xml:space="preserve">checks and balances identify and control any </w:t>
      </w:r>
      <w:proofErr w:type="gramStart"/>
      <w:r>
        <w:t>variations</w:t>
      </w:r>
      <w:proofErr w:type="gramEnd"/>
      <w:r>
        <w:t xml:space="preserve"> and these worked as intended </w:t>
      </w:r>
      <w:r w:rsidR="269549D7">
        <w:t xml:space="preserve">for Higher History </w:t>
      </w:r>
      <w:r>
        <w:t xml:space="preserve">in 2024 </w:t>
      </w:r>
    </w:p>
    <w:p w14:paraId="2E8EADB1" w14:textId="3F4ABA62" w:rsidR="00BF11D2" w:rsidRDefault="00BF11D2" w:rsidP="00BF11D2">
      <w:pPr>
        <w:pStyle w:val="ListParagraph"/>
        <w:numPr>
          <w:ilvl w:val="0"/>
          <w:numId w:val="5"/>
        </w:numPr>
      </w:pPr>
      <w:r>
        <w:t xml:space="preserve">Analysis of appeals outcomes for Higher History in 2024 shows evidence of greater reliability in marking than in </w:t>
      </w:r>
      <w:r w:rsidR="5C4A7E2D">
        <w:t>2023</w:t>
      </w:r>
      <w:r>
        <w:t xml:space="preserve">. </w:t>
      </w:r>
    </w:p>
    <w:p w14:paraId="4C64315C" w14:textId="3BD756E3" w:rsidR="009077DC" w:rsidRDefault="009077DC" w:rsidP="009077DC">
      <w:r>
        <w:t xml:space="preserve">The report </w:t>
      </w:r>
      <w:r w:rsidR="0017604F">
        <w:t>includes some wider reflections beyond the review and identifies some areas for continuous improvement</w:t>
      </w:r>
      <w:r>
        <w:t>, including:</w:t>
      </w:r>
    </w:p>
    <w:p w14:paraId="32AA2283" w14:textId="1B38A85F" w:rsidR="00BF11D2" w:rsidRDefault="00BF11D2" w:rsidP="00BF11D2">
      <w:pPr>
        <w:pStyle w:val="ListParagraph"/>
        <w:numPr>
          <w:ilvl w:val="0"/>
          <w:numId w:val="5"/>
        </w:numPr>
      </w:pPr>
      <w:r>
        <w:t xml:space="preserve">Further work to strengthen understanding of the full </w:t>
      </w:r>
      <w:r w:rsidR="00A9007F">
        <w:t xml:space="preserve">assessment and </w:t>
      </w:r>
      <w:r w:rsidRPr="003431BC">
        <w:t xml:space="preserve">awarding process, including </w:t>
      </w:r>
      <w:r>
        <w:t xml:space="preserve">the checks and balances </w:t>
      </w:r>
      <w:r w:rsidRPr="004233DF">
        <w:t xml:space="preserve">which address </w:t>
      </w:r>
      <w:r>
        <w:t xml:space="preserve">any </w:t>
      </w:r>
      <w:r w:rsidRPr="004233DF">
        <w:t>variation</w:t>
      </w:r>
      <w:r>
        <w:t>s</w:t>
      </w:r>
      <w:r w:rsidRPr="004233DF">
        <w:t xml:space="preserve"> in marking</w:t>
      </w:r>
      <w:r>
        <w:t xml:space="preserve"> </w:t>
      </w:r>
    </w:p>
    <w:p w14:paraId="43FAD2CE" w14:textId="155BAE60" w:rsidR="00BF11D2" w:rsidRPr="00A32E20" w:rsidRDefault="00BF11D2" w:rsidP="00BF11D2">
      <w:pPr>
        <w:pStyle w:val="ListParagraph"/>
        <w:numPr>
          <w:ilvl w:val="0"/>
          <w:numId w:val="5"/>
        </w:numPr>
      </w:pPr>
      <w:r>
        <w:t xml:space="preserve">Reviewing how marker feedback is considered and used, and how the feedback loop is closed to ensure markers understand how </w:t>
      </w:r>
      <w:r w:rsidR="00C56737">
        <w:t xml:space="preserve">any </w:t>
      </w:r>
      <w:r>
        <w:t xml:space="preserve">concerns have been addressed </w:t>
      </w:r>
    </w:p>
    <w:p w14:paraId="3173B033" w14:textId="0C09334B" w:rsidR="004A6C2D" w:rsidRDefault="004A6C2D" w:rsidP="00733263">
      <w:pPr>
        <w:pStyle w:val="ListParagraph"/>
        <w:ind w:left="760"/>
      </w:pPr>
    </w:p>
    <w:p w14:paraId="1BFA7C05" w14:textId="7415527B" w:rsidR="53B4DAB1" w:rsidRDefault="53B4DAB1" w:rsidP="53B4DAB1">
      <w:pPr>
        <w:pStyle w:val="Heading2"/>
        <w:ind w:left="760"/>
      </w:pPr>
    </w:p>
    <w:p w14:paraId="07C241BA" w14:textId="1D77F90C" w:rsidR="003F4725" w:rsidRDefault="003F4725" w:rsidP="1896AB6A">
      <w:pPr>
        <w:pStyle w:val="Heading2"/>
      </w:pPr>
      <w:r>
        <w:t xml:space="preserve">Q&amp;A </w:t>
      </w:r>
    </w:p>
    <w:p w14:paraId="6F226C45" w14:textId="4AB66629" w:rsidR="003F4725" w:rsidRDefault="00966120" w:rsidP="79611D13">
      <w:pPr>
        <w:spacing w:line="257" w:lineRule="auto"/>
        <w:rPr>
          <w:rFonts w:ascii="Calibri" w:eastAsia="Calibri" w:hAnsi="Calibri" w:cs="Calibri"/>
          <w:b/>
          <w:bCs/>
        </w:rPr>
      </w:pPr>
      <w:r w:rsidRPr="79611D13">
        <w:rPr>
          <w:rFonts w:ascii="Calibri" w:eastAsia="Calibri" w:hAnsi="Calibri" w:cs="Calibri"/>
          <w:b/>
          <w:bCs/>
        </w:rPr>
        <w:t xml:space="preserve">Q. </w:t>
      </w:r>
      <w:r w:rsidR="003F4725" w:rsidRPr="79611D13">
        <w:rPr>
          <w:rFonts w:ascii="Calibri" w:eastAsia="Calibri" w:hAnsi="Calibri" w:cs="Calibri"/>
          <w:b/>
          <w:bCs/>
        </w:rPr>
        <w:t xml:space="preserve">Why did the review take so long. SQA said it was expected to take a week </w:t>
      </w:r>
    </w:p>
    <w:p w14:paraId="2D3FF79A" w14:textId="716A45E9" w:rsidR="00E85B7F" w:rsidRDefault="00966120">
      <w:r>
        <w:t xml:space="preserve">A. </w:t>
      </w:r>
      <w:r w:rsidR="003F4725">
        <w:t>We</w:t>
      </w:r>
      <w:r w:rsidR="00D71288">
        <w:t xml:space="preserve"> acknowledge that the review has </w:t>
      </w:r>
      <w:r w:rsidR="00F84578">
        <w:t>taken longer than anticipated and hoped but</w:t>
      </w:r>
      <w:r w:rsidR="00DA00ED">
        <w:t>, in the interest of learners,</w:t>
      </w:r>
      <w:r w:rsidR="00F84578">
        <w:t xml:space="preserve"> it was important to ensure </w:t>
      </w:r>
      <w:r w:rsidR="00DA00ED">
        <w:t xml:space="preserve">the review was robust and rigorous. </w:t>
      </w:r>
      <w:r>
        <w:t>It became clear early on in the process that t</w:t>
      </w:r>
      <w:r w:rsidR="00DA00ED">
        <w:t xml:space="preserve">he review </w:t>
      </w:r>
      <w:r>
        <w:t xml:space="preserve">would have </w:t>
      </w:r>
      <w:r w:rsidR="00DA00ED">
        <w:t xml:space="preserve">to look not just at the marking standard </w:t>
      </w:r>
      <w:r w:rsidR="00946D51">
        <w:t xml:space="preserve">but at the entire end-to-end process for setting standards, and we also had to ensure the external reviewer had sufficient time to analyse, assess and </w:t>
      </w:r>
      <w:r w:rsidR="00485F4B">
        <w:t>audit the evidence and conclusions.</w:t>
      </w:r>
      <w:r w:rsidR="00F84578">
        <w:t xml:space="preserve"> </w:t>
      </w:r>
    </w:p>
    <w:p w14:paraId="3D8E64F5" w14:textId="3C11E4C9" w:rsidR="00124803" w:rsidRDefault="111606FB" w:rsidP="1BFFFCC4">
      <w:pPr>
        <w:spacing w:line="257" w:lineRule="auto"/>
      </w:pPr>
      <w:r w:rsidRPr="1BFFFCC4">
        <w:rPr>
          <w:rFonts w:ascii="Calibri" w:eastAsia="Calibri" w:hAnsi="Calibri" w:cs="Calibri"/>
          <w:b/>
          <w:bCs/>
        </w:rPr>
        <w:t>Q: Why didn’t you listen to concerns from teachers much earlier?</w:t>
      </w:r>
    </w:p>
    <w:p w14:paraId="34CDF575" w14:textId="346A5365" w:rsidR="00124803" w:rsidRDefault="6C06C451" w:rsidP="1BFFFCC4">
      <w:pPr>
        <w:spacing w:line="257" w:lineRule="auto"/>
      </w:pPr>
      <w:r w:rsidRPr="4CF26DEE">
        <w:rPr>
          <w:rFonts w:ascii="Calibri" w:eastAsia="Calibri" w:hAnsi="Calibri" w:cs="Calibri"/>
        </w:rPr>
        <w:t xml:space="preserve">A: We take all concerns from teachers seriously. </w:t>
      </w:r>
      <w:r w:rsidR="1DEF3299" w:rsidRPr="4CF26DEE">
        <w:rPr>
          <w:rFonts w:ascii="Calibri" w:eastAsia="Calibri" w:hAnsi="Calibri" w:cs="Calibri"/>
        </w:rPr>
        <w:t>A few a</w:t>
      </w:r>
      <w:r w:rsidR="540052BB" w:rsidRPr="4CF26DEE">
        <w:rPr>
          <w:rFonts w:ascii="Calibri" w:eastAsia="Calibri" w:hAnsi="Calibri" w:cs="Calibri"/>
        </w:rPr>
        <w:t>nonymous concerns were first aired in the media</w:t>
      </w:r>
      <w:r w:rsidR="476D8D5D" w:rsidRPr="4CF26DEE">
        <w:rPr>
          <w:rFonts w:ascii="Calibri" w:eastAsia="Calibri" w:hAnsi="Calibri" w:cs="Calibri"/>
        </w:rPr>
        <w:t xml:space="preserve">. When </w:t>
      </w:r>
      <w:r w:rsidR="6F4F3BC0" w:rsidRPr="4CF26DEE">
        <w:rPr>
          <w:rFonts w:ascii="Calibri" w:eastAsia="Calibri" w:hAnsi="Calibri" w:cs="Calibri"/>
        </w:rPr>
        <w:t xml:space="preserve">concerns went beyond </w:t>
      </w:r>
      <w:r w:rsidR="1DEF3299" w:rsidRPr="4CF26DEE">
        <w:rPr>
          <w:rFonts w:ascii="Calibri" w:eastAsia="Calibri" w:hAnsi="Calibri" w:cs="Calibri"/>
        </w:rPr>
        <w:t xml:space="preserve">being anonymous and </w:t>
      </w:r>
      <w:r w:rsidR="4C2371D1" w:rsidRPr="4CF26DEE">
        <w:rPr>
          <w:rFonts w:ascii="Calibri" w:eastAsia="Calibri" w:hAnsi="Calibri" w:cs="Calibri"/>
        </w:rPr>
        <w:t xml:space="preserve">were </w:t>
      </w:r>
      <w:r w:rsidR="1DEF3299" w:rsidRPr="4CF26DEE">
        <w:rPr>
          <w:rFonts w:ascii="Calibri" w:eastAsia="Calibri" w:hAnsi="Calibri" w:cs="Calibri"/>
        </w:rPr>
        <w:t xml:space="preserve">also raised </w:t>
      </w:r>
      <w:r w:rsidR="4C2371D1" w:rsidRPr="4CF26DEE">
        <w:rPr>
          <w:rFonts w:ascii="Calibri" w:eastAsia="Calibri" w:hAnsi="Calibri" w:cs="Calibri"/>
        </w:rPr>
        <w:t>directly with SQA</w:t>
      </w:r>
      <w:r w:rsidR="3C34D722" w:rsidRPr="4CF26DEE">
        <w:rPr>
          <w:rFonts w:ascii="Calibri" w:eastAsia="Calibri" w:hAnsi="Calibri" w:cs="Calibri"/>
        </w:rPr>
        <w:t xml:space="preserve">, </w:t>
      </w:r>
      <w:r w:rsidR="4C2371D1" w:rsidRPr="4CF26DEE">
        <w:rPr>
          <w:rFonts w:ascii="Calibri" w:eastAsia="Calibri" w:hAnsi="Calibri" w:cs="Calibri"/>
        </w:rPr>
        <w:t xml:space="preserve">the Chief Examiner </w:t>
      </w:r>
      <w:r w:rsidRPr="4CF26DEE">
        <w:rPr>
          <w:rFonts w:ascii="Calibri" w:eastAsia="Calibri" w:hAnsi="Calibri" w:cs="Calibri"/>
        </w:rPr>
        <w:t>commissioned a comprehensive review to investigate the issues thoroughly. It was important to gather and analyse a wide range of evidence before drawing conclusions. By ensuring a rigorous and evidence-led approach, we aimed to address the concerns effectively and maintain the integrity of the assessment process.</w:t>
      </w:r>
    </w:p>
    <w:p w14:paraId="161A471D" w14:textId="652A68B7" w:rsidR="00124803" w:rsidRDefault="111606FB" w:rsidP="1BFFFCC4">
      <w:pPr>
        <w:spacing w:line="257" w:lineRule="auto"/>
      </w:pPr>
      <w:r w:rsidRPr="1BFFFCC4">
        <w:rPr>
          <w:rFonts w:ascii="Calibri" w:eastAsia="Calibri" w:hAnsi="Calibri" w:cs="Calibri"/>
          <w:b/>
          <w:bCs/>
        </w:rPr>
        <w:t>Q: Do you accept that if you’d listened to teachers’ concerns earlier, you would have reduced the level of stress for learners?</w:t>
      </w:r>
    </w:p>
    <w:p w14:paraId="4D537D56" w14:textId="5130FEA2" w:rsidR="00124803" w:rsidRDefault="111606FB" w:rsidP="4CF26DEE">
      <w:pPr>
        <w:spacing w:line="257" w:lineRule="auto"/>
      </w:pPr>
      <w:r w:rsidRPr="4CF26DEE">
        <w:rPr>
          <w:rFonts w:ascii="Calibri" w:eastAsia="Calibri" w:hAnsi="Calibri" w:cs="Calibri"/>
        </w:rPr>
        <w:t>A: We know that any uncertainty can cause stress for learners, and we empathise with them. However, it was very much in the best interests of learners that we conducted a detailed and thorough review to ensure any conclusions were accurate and evidence-based. The findings of this robust review, backed by an independent expert from WJEC</w:t>
      </w:r>
      <w:r w:rsidR="5D167E3B" w:rsidRPr="4CF26DEE">
        <w:rPr>
          <w:rFonts w:ascii="Calibri" w:eastAsia="Calibri" w:hAnsi="Calibri" w:cs="Calibri"/>
        </w:rPr>
        <w:t xml:space="preserve"> (</w:t>
      </w:r>
      <w:r w:rsidR="09B59DBE" w:rsidRPr="4CF26DEE">
        <w:rPr>
          <w:rFonts w:ascii="Calibri" w:eastAsia="Calibri" w:hAnsi="Calibri" w:cs="Calibri"/>
        </w:rPr>
        <w:t>formerly the Welsh Joint Education Committee</w:t>
      </w:r>
      <w:r w:rsidR="7342382D" w:rsidRPr="4CF26DEE">
        <w:rPr>
          <w:rFonts w:ascii="Calibri" w:eastAsia="Calibri" w:hAnsi="Calibri" w:cs="Calibri"/>
        </w:rPr>
        <w:t>),</w:t>
      </w:r>
      <w:r w:rsidRPr="4CF26DEE">
        <w:rPr>
          <w:rFonts w:ascii="Calibri" w:eastAsia="Calibri" w:hAnsi="Calibri" w:cs="Calibri"/>
        </w:rPr>
        <w:t xml:space="preserve"> provide learners with the reassurance that they were graded fairly.</w:t>
      </w:r>
    </w:p>
    <w:p w14:paraId="0EE7795F" w14:textId="4D5981D4" w:rsidR="00124803" w:rsidRDefault="111606FB" w:rsidP="1BFFFCC4">
      <w:pPr>
        <w:spacing w:line="257" w:lineRule="auto"/>
      </w:pPr>
      <w:r w:rsidRPr="1BFFFCC4">
        <w:rPr>
          <w:rFonts w:ascii="Calibri" w:eastAsia="Calibri" w:hAnsi="Calibri" w:cs="Calibri"/>
          <w:b/>
          <w:bCs/>
        </w:rPr>
        <w:t>Q: How can anyone have confidence in this year’s results in any subject—are you doing a comprehensive review of all the results in 2024?</w:t>
      </w:r>
    </w:p>
    <w:p w14:paraId="2188A12B" w14:textId="6C1BA1DF" w:rsidR="00124803" w:rsidRDefault="111606FB" w:rsidP="1BFFFCC4">
      <w:pPr>
        <w:spacing w:line="257" w:lineRule="auto"/>
      </w:pPr>
      <w:r w:rsidRPr="1BFFFCC4">
        <w:rPr>
          <w:rFonts w:ascii="Calibri" w:eastAsia="Calibri" w:hAnsi="Calibri" w:cs="Calibri"/>
        </w:rPr>
        <w:t>A: The extensive review of Higher History has confirmed that our established marking and grading processes are robust and functioned as intended. These rigorous quality assurance measures are applied consistently across all subjects. While the review focused on Higher History due to specific concerns raised, we are confident in the fairness and accuracy of results across all subjects in 2024.</w:t>
      </w:r>
    </w:p>
    <w:p w14:paraId="16DDF324" w14:textId="039F0B2D" w:rsidR="00124803" w:rsidRDefault="111606FB" w:rsidP="1BFFFCC4">
      <w:pPr>
        <w:spacing w:line="257" w:lineRule="auto"/>
      </w:pPr>
      <w:r w:rsidRPr="1BFFFCC4">
        <w:rPr>
          <w:rFonts w:ascii="Calibri" w:eastAsia="Calibri" w:hAnsi="Calibri" w:cs="Calibri"/>
          <w:b/>
          <w:bCs/>
        </w:rPr>
        <w:t>Q: Is the Chief Examiner considering their position?</w:t>
      </w:r>
    </w:p>
    <w:p w14:paraId="4AEE945C" w14:textId="39D8EF92" w:rsidR="00124803" w:rsidRDefault="6C06C451" w:rsidP="1BFFFCC4">
      <w:pPr>
        <w:spacing w:line="257" w:lineRule="auto"/>
      </w:pPr>
      <w:r w:rsidRPr="4CF26DEE">
        <w:rPr>
          <w:rFonts w:ascii="Calibri" w:eastAsia="Calibri" w:hAnsi="Calibri" w:cs="Calibri"/>
        </w:rPr>
        <w:t xml:space="preserve">A: </w:t>
      </w:r>
      <w:r w:rsidR="387646FD" w:rsidRPr="4CF26DEE">
        <w:rPr>
          <w:rFonts w:ascii="Calibri" w:eastAsia="Calibri" w:hAnsi="Calibri" w:cs="Calibri"/>
        </w:rPr>
        <w:t xml:space="preserve">No. </w:t>
      </w:r>
      <w:r w:rsidRPr="4CF26DEE">
        <w:rPr>
          <w:rFonts w:ascii="Calibri" w:eastAsia="Calibri" w:hAnsi="Calibri" w:cs="Calibri"/>
        </w:rPr>
        <w:t>Scotland’s Chief Examiner, Fiona Robertson, demonstrated strong leadership and commitment to transparency by commissioning a robust and wide-ranging SQA review. The Chief Examiner also determined that the report’s eventual findings should be subject to independent, comprehensive review from an external expert, and that the findings would be published by SQA</w:t>
      </w:r>
      <w:r w:rsidR="364D4E94" w:rsidRPr="4CF26DEE">
        <w:rPr>
          <w:rFonts w:ascii="Calibri" w:eastAsia="Calibri" w:hAnsi="Calibri" w:cs="Calibri"/>
        </w:rPr>
        <w:t xml:space="preserve"> regardless of their content</w:t>
      </w:r>
      <w:r w:rsidRPr="4CF26DEE">
        <w:rPr>
          <w:rFonts w:ascii="Calibri" w:eastAsia="Calibri" w:hAnsi="Calibri" w:cs="Calibri"/>
        </w:rPr>
        <w:t>.</w:t>
      </w:r>
    </w:p>
    <w:p w14:paraId="57E853E1" w14:textId="6E9217D7" w:rsidR="00124803" w:rsidRDefault="111606FB" w:rsidP="1BFFFCC4">
      <w:pPr>
        <w:spacing w:line="257" w:lineRule="auto"/>
      </w:pPr>
      <w:r w:rsidRPr="1BFFFCC4">
        <w:rPr>
          <w:rFonts w:ascii="Calibri" w:eastAsia="Calibri" w:hAnsi="Calibri" w:cs="Calibri"/>
        </w:rPr>
        <w:t xml:space="preserve">The review concluded that the marking standards did not </w:t>
      </w:r>
      <w:proofErr w:type="gramStart"/>
      <w:r w:rsidRPr="1BFFFCC4">
        <w:rPr>
          <w:rFonts w:ascii="Calibri" w:eastAsia="Calibri" w:hAnsi="Calibri" w:cs="Calibri"/>
        </w:rPr>
        <w:t>change</w:t>
      </w:r>
      <w:proofErr w:type="gramEnd"/>
      <w:r w:rsidRPr="1BFFFCC4">
        <w:rPr>
          <w:rFonts w:ascii="Calibri" w:eastAsia="Calibri" w:hAnsi="Calibri" w:cs="Calibri"/>
        </w:rPr>
        <w:t xml:space="preserve"> and learners were assessed fairly. </w:t>
      </w:r>
    </w:p>
    <w:p w14:paraId="279825BD" w14:textId="39C59882" w:rsidR="00124803" w:rsidRDefault="111606FB" w:rsidP="1BFFFCC4">
      <w:pPr>
        <w:spacing w:line="257" w:lineRule="auto"/>
      </w:pPr>
      <w:r w:rsidRPr="1BFFFCC4">
        <w:rPr>
          <w:rFonts w:ascii="Calibri" w:eastAsia="Calibri" w:hAnsi="Calibri" w:cs="Calibri"/>
          <w:b/>
          <w:bCs/>
        </w:rPr>
        <w:t>Q: What impact could this have on recruiting markers for this year’s Higher History?</w:t>
      </w:r>
    </w:p>
    <w:p w14:paraId="221D21E2" w14:textId="4C31CF8F" w:rsidR="00124803" w:rsidRDefault="111606FB" w:rsidP="1BFFFCC4">
      <w:pPr>
        <w:spacing w:line="257" w:lineRule="auto"/>
      </w:pPr>
      <w:r w:rsidRPr="1BFFFCC4">
        <w:rPr>
          <w:rFonts w:ascii="Calibri" w:eastAsia="Calibri" w:hAnsi="Calibri" w:cs="Calibri"/>
        </w:rPr>
        <w:t>A: We deeply value our thousands of SQA markers and appointees. They are integral to the assessment process. The review has highlighted the effectiveness of our marking and grading procedures but also provided learning for how we can better support markers through improved two-way communication and strengthened feedback mechanisms. We aim to have these improved ways of working in place ahead of this year’s examination diet.</w:t>
      </w:r>
    </w:p>
    <w:p w14:paraId="45247312" w14:textId="28B65133" w:rsidR="00124803" w:rsidRDefault="111606FB" w:rsidP="1BFFFCC4">
      <w:pPr>
        <w:spacing w:line="257" w:lineRule="auto"/>
      </w:pPr>
      <w:r w:rsidRPr="1BFFFCC4">
        <w:rPr>
          <w:rFonts w:ascii="Calibri" w:eastAsia="Calibri" w:hAnsi="Calibri" w:cs="Calibri"/>
          <w:b/>
          <w:bCs/>
        </w:rPr>
        <w:t>Q: Will the same qualifications team and Principal Assessor be in place for this year’s exam?</w:t>
      </w:r>
    </w:p>
    <w:p w14:paraId="2AA7325D" w14:textId="422E8152" w:rsidR="00124803" w:rsidRDefault="111606FB" w:rsidP="1BFFFCC4">
      <w:pPr>
        <w:spacing w:line="257" w:lineRule="auto"/>
      </w:pPr>
      <w:r w:rsidRPr="7959930B">
        <w:rPr>
          <w:rFonts w:ascii="Calibri" w:eastAsia="Calibri" w:hAnsi="Calibri" w:cs="Calibri"/>
        </w:rPr>
        <w:t>A: The experienced exam team and Principal Assessor who oversaw the Higher History assessments have acted with integrity, as confirmed by the review. Decisions regarding appointments are made to ensure continuity, expertise, and the highest standards in assessment.</w:t>
      </w:r>
    </w:p>
    <w:p w14:paraId="45AC1339" w14:textId="671A74A2" w:rsidR="7959930B" w:rsidRDefault="7959930B" w:rsidP="4CF26DEE">
      <w:pPr>
        <w:pStyle w:val="Heading3"/>
        <w:rPr>
          <w:rFonts w:ascii="Calibri" w:eastAsia="Calibri" w:hAnsi="Calibri" w:cs="Calibri"/>
          <w:b/>
          <w:bCs/>
        </w:rPr>
      </w:pPr>
    </w:p>
    <w:p w14:paraId="6083E148" w14:textId="086D6767" w:rsidR="00124803" w:rsidRDefault="111606FB" w:rsidP="1BFFFCC4">
      <w:pPr>
        <w:spacing w:line="257" w:lineRule="auto"/>
      </w:pPr>
      <w:r w:rsidRPr="1BFFFCC4">
        <w:rPr>
          <w:rFonts w:ascii="Calibri" w:eastAsia="Calibri" w:hAnsi="Calibri" w:cs="Calibri"/>
          <w:b/>
          <w:bCs/>
        </w:rPr>
        <w:t>Q: At Marker Check, there was a significant year-on-year drop in markers being rated ‘A’ (from 78% to 67%). This drop was only observed on the Migration question. How can you say marking was fair when SQA itself identified a significant drop in the standard of marking for this question?</w:t>
      </w:r>
    </w:p>
    <w:p w14:paraId="3948105A" w14:textId="1EAB7EA2" w:rsidR="00124803" w:rsidRDefault="111606FB" w:rsidP="1BFFFCC4">
      <w:pPr>
        <w:spacing w:line="257" w:lineRule="auto"/>
      </w:pPr>
      <w:r w:rsidRPr="1BFFFCC4">
        <w:rPr>
          <w:rFonts w:ascii="Calibri" w:eastAsia="Calibri" w:hAnsi="Calibri" w:cs="Calibri"/>
        </w:rPr>
        <w:t>A: Variations in marker gradings can occur year on year and are not uncommon, especially in social science subjects like history. The decrease in markers graded ‘A’ reflects slight variations that our quality assurance processes are designed to identify and manage. The marker check and finalisation processes effectively ensured that all marking met the required standards. The review confirmed that these processes worked as intended, and marking was fair and consistent across all questions.</w:t>
      </w:r>
    </w:p>
    <w:p w14:paraId="060B8099" w14:textId="0EA65DFA" w:rsidR="00124803" w:rsidRDefault="111606FB" w:rsidP="1BFFFCC4">
      <w:pPr>
        <w:spacing w:line="257" w:lineRule="auto"/>
      </w:pPr>
      <w:r w:rsidRPr="1BFFFCC4">
        <w:rPr>
          <w:rFonts w:ascii="Calibri" w:eastAsia="Calibri" w:hAnsi="Calibri" w:cs="Calibri"/>
          <w:b/>
          <w:bCs/>
        </w:rPr>
        <w:t xml:space="preserve">Q: </w:t>
      </w:r>
      <w:proofErr w:type="gramStart"/>
      <w:r w:rsidRPr="1BFFFCC4">
        <w:rPr>
          <w:rFonts w:ascii="Calibri" w:eastAsia="Calibri" w:hAnsi="Calibri" w:cs="Calibri"/>
          <w:b/>
          <w:bCs/>
        </w:rPr>
        <w:t>Was</w:t>
      </w:r>
      <w:proofErr w:type="gramEnd"/>
      <w:r w:rsidRPr="1BFFFCC4">
        <w:rPr>
          <w:rFonts w:ascii="Calibri" w:eastAsia="Calibri" w:hAnsi="Calibri" w:cs="Calibri"/>
          <w:b/>
          <w:bCs/>
        </w:rPr>
        <w:t xml:space="preserve"> that drop because markers were confused about the marking guidance given by SQA?</w:t>
      </w:r>
    </w:p>
    <w:p w14:paraId="2E93C799" w14:textId="17320751" w:rsidR="00124803" w:rsidRDefault="6C06C451" w:rsidP="1BFFFCC4">
      <w:pPr>
        <w:spacing w:line="257" w:lineRule="auto"/>
      </w:pPr>
      <w:r w:rsidRPr="4CF26DEE">
        <w:rPr>
          <w:rFonts w:ascii="Calibri" w:eastAsia="Calibri" w:hAnsi="Calibri" w:cs="Calibri"/>
        </w:rPr>
        <w:t>A: In 2024, we provided more detailed marking instructions through  ‘exemplification’ to enhance consistency. This is standard practice and was intended to support markers in applying the criteria accurately</w:t>
      </w:r>
      <w:r w:rsidR="3DB91227" w:rsidRPr="4CF26DEE">
        <w:rPr>
          <w:rFonts w:ascii="Calibri" w:eastAsia="Calibri" w:hAnsi="Calibri" w:cs="Calibri"/>
        </w:rPr>
        <w:t xml:space="preserve"> and consistently</w:t>
      </w:r>
      <w:r w:rsidRPr="4CF26DEE">
        <w:rPr>
          <w:rFonts w:ascii="Calibri" w:eastAsia="Calibri" w:hAnsi="Calibri" w:cs="Calibri"/>
        </w:rPr>
        <w:t>. The slight decrease in ‘A’ graded markers represents normal variation that w</w:t>
      </w:r>
      <w:r w:rsidR="7D2ACAD4" w:rsidRPr="4CF26DEE">
        <w:rPr>
          <w:rFonts w:ascii="Calibri" w:eastAsia="Calibri" w:hAnsi="Calibri" w:cs="Calibri"/>
        </w:rPr>
        <w:t>as</w:t>
      </w:r>
      <w:r w:rsidRPr="4CF26DEE">
        <w:rPr>
          <w:rFonts w:ascii="Calibri" w:eastAsia="Calibri" w:hAnsi="Calibri" w:cs="Calibri"/>
        </w:rPr>
        <w:t xml:space="preserve"> effectively managed through our established quality assurance measures.</w:t>
      </w:r>
    </w:p>
    <w:p w14:paraId="7CEAE8D0" w14:textId="5D7843D4" w:rsidR="5E9DDD7A" w:rsidRDefault="5E9DDD7A" w:rsidP="7959930B">
      <w:pPr>
        <w:spacing w:line="257" w:lineRule="auto"/>
        <w:rPr>
          <w:rFonts w:ascii="Calibri" w:eastAsia="Calibri" w:hAnsi="Calibri" w:cs="Calibri"/>
          <w:b/>
          <w:bCs/>
        </w:rPr>
      </w:pPr>
      <w:r w:rsidRPr="7959930B">
        <w:rPr>
          <w:rFonts w:ascii="Calibri" w:eastAsia="Calibri" w:hAnsi="Calibri" w:cs="Calibri"/>
          <w:b/>
          <w:bCs/>
        </w:rPr>
        <w:t>Q: How do you explain that other sections of Higher History did not experience a drop in marker grading, while only the Scottish history section did?</w:t>
      </w:r>
    </w:p>
    <w:p w14:paraId="76AF2C5C" w14:textId="1CE2D5C9" w:rsidR="7959930B" w:rsidRDefault="5E9DDD7A" w:rsidP="4CF26DEE">
      <w:pPr>
        <w:spacing w:after="0"/>
        <w:rPr>
          <w:rFonts w:ascii="Calibri" w:eastAsia="Calibri" w:hAnsi="Calibri" w:cs="Calibri"/>
        </w:rPr>
      </w:pPr>
      <w:r w:rsidRPr="4CF26DEE">
        <w:rPr>
          <w:rFonts w:ascii="Calibri" w:eastAsia="Calibri" w:hAnsi="Calibri" w:cs="Calibri"/>
        </w:rPr>
        <w:t xml:space="preserve">A: </w:t>
      </w:r>
      <w:r w:rsidR="5F2851F4" w:rsidRPr="4CF26DEE">
        <w:rPr>
          <w:rFonts w:ascii="Calibri" w:eastAsia="Calibri" w:hAnsi="Calibri" w:cs="Calibri"/>
        </w:rPr>
        <w:t>Marks for all three components of this year’s Higher History assessments were lower than in any year since 2019.  No concerns were expressed about the standard set in question paper 1 or the assignme</w:t>
      </w:r>
      <w:r w:rsidR="01F0AB78" w:rsidRPr="4CF26DEE">
        <w:rPr>
          <w:rFonts w:ascii="Calibri" w:eastAsia="Calibri" w:hAnsi="Calibri" w:cs="Calibri"/>
        </w:rPr>
        <w:t>nt.</w:t>
      </w:r>
    </w:p>
    <w:p w14:paraId="5E357860" w14:textId="38A520A1" w:rsidR="5E9DDD7A" w:rsidRDefault="5E9DDD7A" w:rsidP="4CF26DEE">
      <w:pPr>
        <w:spacing w:before="240" w:after="240" w:line="257" w:lineRule="auto"/>
        <w:rPr>
          <w:rFonts w:ascii="Calibri" w:eastAsia="Calibri" w:hAnsi="Calibri" w:cs="Calibri"/>
          <w:b/>
          <w:bCs/>
        </w:rPr>
      </w:pPr>
      <w:r w:rsidRPr="4CF26DEE">
        <w:rPr>
          <w:rFonts w:ascii="Calibri" w:eastAsia="Calibri" w:hAnsi="Calibri" w:cs="Calibri"/>
          <w:b/>
          <w:bCs/>
        </w:rPr>
        <w:t>Q: Some teachers feel that SQA’s lack of responsiveness led to preventable issues. How will you improve communication and responsiveness going forward?</w:t>
      </w:r>
    </w:p>
    <w:p w14:paraId="790ED6A1" w14:textId="054AF37C" w:rsidR="5E9DDD7A" w:rsidRDefault="5E9DDD7A" w:rsidP="7959930B">
      <w:r w:rsidRPr="7959930B">
        <w:rPr>
          <w:b/>
          <w:bCs/>
        </w:rPr>
        <w:t>A:</w:t>
      </w:r>
      <w:r w:rsidRPr="7959930B">
        <w:t xml:space="preserve"> We acknowledge the feedback regarding communication and are committed to enhancing our dialogue with teachers and markers. Moving forward, we will implement mechanisms for more effective two-way communication, ensuring concerns are heard and addressed promptly. This includes providing clearer updates and more accessible support materials</w:t>
      </w:r>
      <w:r w:rsidR="2160BDA3" w:rsidRPr="7959930B">
        <w:t>, as well as further enhancement to our Understanding Standards support, including course reports</w:t>
      </w:r>
      <w:r w:rsidRPr="7959930B">
        <w:t>.</w:t>
      </w:r>
    </w:p>
    <w:p w14:paraId="4F522384" w14:textId="4417364A" w:rsidR="00752329" w:rsidRDefault="00752329" w:rsidP="4CF26DEE">
      <w:pPr>
        <w:spacing w:line="257" w:lineRule="auto"/>
        <w:rPr>
          <w:rFonts w:ascii="Calibri" w:eastAsia="Calibri" w:hAnsi="Calibri" w:cs="Calibri"/>
        </w:rPr>
      </w:pPr>
    </w:p>
    <w:p w14:paraId="1CE3DA10" w14:textId="6AFB1663" w:rsidR="002878CA" w:rsidRDefault="002878CA" w:rsidP="4CF26DEE"/>
    <w:sectPr w:rsidR="00287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8E22"/>
    <w:multiLevelType w:val="hybridMultilevel"/>
    <w:tmpl w:val="6820285E"/>
    <w:lvl w:ilvl="0" w:tplc="EC506B00">
      <w:start w:val="1"/>
      <w:numFmt w:val="bullet"/>
      <w:lvlText w:val=""/>
      <w:lvlJc w:val="left"/>
      <w:pPr>
        <w:ind w:left="720" w:hanging="360"/>
      </w:pPr>
      <w:rPr>
        <w:rFonts w:ascii="Symbol" w:hAnsi="Symbol" w:hint="default"/>
      </w:rPr>
    </w:lvl>
    <w:lvl w:ilvl="1" w:tplc="45EE2C18">
      <w:start w:val="1"/>
      <w:numFmt w:val="bullet"/>
      <w:lvlText w:val="o"/>
      <w:lvlJc w:val="left"/>
      <w:pPr>
        <w:ind w:left="1440" w:hanging="360"/>
      </w:pPr>
      <w:rPr>
        <w:rFonts w:ascii="Courier New" w:hAnsi="Courier New" w:hint="default"/>
      </w:rPr>
    </w:lvl>
    <w:lvl w:ilvl="2" w:tplc="E3C8F3F4">
      <w:start w:val="1"/>
      <w:numFmt w:val="bullet"/>
      <w:lvlText w:val=""/>
      <w:lvlJc w:val="left"/>
      <w:pPr>
        <w:ind w:left="2160" w:hanging="360"/>
      </w:pPr>
      <w:rPr>
        <w:rFonts w:ascii="Wingdings" w:hAnsi="Wingdings" w:hint="default"/>
      </w:rPr>
    </w:lvl>
    <w:lvl w:ilvl="3" w:tplc="848C8AD8">
      <w:start w:val="1"/>
      <w:numFmt w:val="bullet"/>
      <w:lvlText w:val=""/>
      <w:lvlJc w:val="left"/>
      <w:pPr>
        <w:ind w:left="2880" w:hanging="360"/>
      </w:pPr>
      <w:rPr>
        <w:rFonts w:ascii="Symbol" w:hAnsi="Symbol" w:hint="default"/>
      </w:rPr>
    </w:lvl>
    <w:lvl w:ilvl="4" w:tplc="0BC26D4A">
      <w:start w:val="1"/>
      <w:numFmt w:val="bullet"/>
      <w:lvlText w:val="o"/>
      <w:lvlJc w:val="left"/>
      <w:pPr>
        <w:ind w:left="3600" w:hanging="360"/>
      </w:pPr>
      <w:rPr>
        <w:rFonts w:ascii="Courier New" w:hAnsi="Courier New" w:hint="default"/>
      </w:rPr>
    </w:lvl>
    <w:lvl w:ilvl="5" w:tplc="16D2C9E8">
      <w:start w:val="1"/>
      <w:numFmt w:val="bullet"/>
      <w:lvlText w:val=""/>
      <w:lvlJc w:val="left"/>
      <w:pPr>
        <w:ind w:left="4320" w:hanging="360"/>
      </w:pPr>
      <w:rPr>
        <w:rFonts w:ascii="Wingdings" w:hAnsi="Wingdings" w:hint="default"/>
      </w:rPr>
    </w:lvl>
    <w:lvl w:ilvl="6" w:tplc="7C34594A">
      <w:start w:val="1"/>
      <w:numFmt w:val="bullet"/>
      <w:lvlText w:val=""/>
      <w:lvlJc w:val="left"/>
      <w:pPr>
        <w:ind w:left="5040" w:hanging="360"/>
      </w:pPr>
      <w:rPr>
        <w:rFonts w:ascii="Symbol" w:hAnsi="Symbol" w:hint="default"/>
      </w:rPr>
    </w:lvl>
    <w:lvl w:ilvl="7" w:tplc="0548D5C4">
      <w:start w:val="1"/>
      <w:numFmt w:val="bullet"/>
      <w:lvlText w:val="o"/>
      <w:lvlJc w:val="left"/>
      <w:pPr>
        <w:ind w:left="5760" w:hanging="360"/>
      </w:pPr>
      <w:rPr>
        <w:rFonts w:ascii="Courier New" w:hAnsi="Courier New" w:hint="default"/>
      </w:rPr>
    </w:lvl>
    <w:lvl w:ilvl="8" w:tplc="684C9384">
      <w:start w:val="1"/>
      <w:numFmt w:val="bullet"/>
      <w:lvlText w:val=""/>
      <w:lvlJc w:val="left"/>
      <w:pPr>
        <w:ind w:left="6480" w:hanging="360"/>
      </w:pPr>
      <w:rPr>
        <w:rFonts w:ascii="Wingdings" w:hAnsi="Wingdings" w:hint="default"/>
      </w:rPr>
    </w:lvl>
  </w:abstractNum>
  <w:abstractNum w:abstractNumId="1" w15:restartNumberingAfterBreak="0">
    <w:nsid w:val="56181D30"/>
    <w:multiLevelType w:val="hybridMultilevel"/>
    <w:tmpl w:val="002CE1E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57954C7E"/>
    <w:multiLevelType w:val="hybridMultilevel"/>
    <w:tmpl w:val="D82EE330"/>
    <w:lvl w:ilvl="0" w:tplc="24121086">
      <w:start w:val="1"/>
      <w:numFmt w:val="bullet"/>
      <w:lvlText w:val=""/>
      <w:lvlJc w:val="left"/>
      <w:pPr>
        <w:ind w:left="720" w:hanging="360"/>
      </w:pPr>
      <w:rPr>
        <w:rFonts w:ascii="Symbol" w:hAnsi="Symbol" w:hint="default"/>
      </w:rPr>
    </w:lvl>
    <w:lvl w:ilvl="1" w:tplc="458CA14A">
      <w:start w:val="1"/>
      <w:numFmt w:val="bullet"/>
      <w:lvlText w:val="o"/>
      <w:lvlJc w:val="left"/>
      <w:pPr>
        <w:ind w:left="1440" w:hanging="360"/>
      </w:pPr>
      <w:rPr>
        <w:rFonts w:ascii="Courier New" w:hAnsi="Courier New" w:hint="default"/>
      </w:rPr>
    </w:lvl>
    <w:lvl w:ilvl="2" w:tplc="297E3F94">
      <w:start w:val="1"/>
      <w:numFmt w:val="bullet"/>
      <w:lvlText w:val=""/>
      <w:lvlJc w:val="left"/>
      <w:pPr>
        <w:ind w:left="2160" w:hanging="360"/>
      </w:pPr>
      <w:rPr>
        <w:rFonts w:ascii="Wingdings" w:hAnsi="Wingdings" w:hint="default"/>
      </w:rPr>
    </w:lvl>
    <w:lvl w:ilvl="3" w:tplc="68F87890">
      <w:start w:val="1"/>
      <w:numFmt w:val="bullet"/>
      <w:lvlText w:val=""/>
      <w:lvlJc w:val="left"/>
      <w:pPr>
        <w:ind w:left="2880" w:hanging="360"/>
      </w:pPr>
      <w:rPr>
        <w:rFonts w:ascii="Symbol" w:hAnsi="Symbol" w:hint="default"/>
      </w:rPr>
    </w:lvl>
    <w:lvl w:ilvl="4" w:tplc="BF42004C">
      <w:start w:val="1"/>
      <w:numFmt w:val="bullet"/>
      <w:lvlText w:val="o"/>
      <w:lvlJc w:val="left"/>
      <w:pPr>
        <w:ind w:left="3600" w:hanging="360"/>
      </w:pPr>
      <w:rPr>
        <w:rFonts w:ascii="Courier New" w:hAnsi="Courier New" w:hint="default"/>
      </w:rPr>
    </w:lvl>
    <w:lvl w:ilvl="5" w:tplc="9E22FD04">
      <w:start w:val="1"/>
      <w:numFmt w:val="bullet"/>
      <w:lvlText w:val=""/>
      <w:lvlJc w:val="left"/>
      <w:pPr>
        <w:ind w:left="4320" w:hanging="360"/>
      </w:pPr>
      <w:rPr>
        <w:rFonts w:ascii="Wingdings" w:hAnsi="Wingdings" w:hint="default"/>
      </w:rPr>
    </w:lvl>
    <w:lvl w:ilvl="6" w:tplc="4D8A3EE6">
      <w:start w:val="1"/>
      <w:numFmt w:val="bullet"/>
      <w:lvlText w:val=""/>
      <w:lvlJc w:val="left"/>
      <w:pPr>
        <w:ind w:left="5040" w:hanging="360"/>
      </w:pPr>
      <w:rPr>
        <w:rFonts w:ascii="Symbol" w:hAnsi="Symbol" w:hint="default"/>
      </w:rPr>
    </w:lvl>
    <w:lvl w:ilvl="7" w:tplc="4B7E9C9E">
      <w:start w:val="1"/>
      <w:numFmt w:val="bullet"/>
      <w:lvlText w:val="o"/>
      <w:lvlJc w:val="left"/>
      <w:pPr>
        <w:ind w:left="5760" w:hanging="360"/>
      </w:pPr>
      <w:rPr>
        <w:rFonts w:ascii="Courier New" w:hAnsi="Courier New" w:hint="default"/>
      </w:rPr>
    </w:lvl>
    <w:lvl w:ilvl="8" w:tplc="E8444102">
      <w:start w:val="1"/>
      <w:numFmt w:val="bullet"/>
      <w:lvlText w:val=""/>
      <w:lvlJc w:val="left"/>
      <w:pPr>
        <w:ind w:left="6480" w:hanging="360"/>
      </w:pPr>
      <w:rPr>
        <w:rFonts w:ascii="Wingdings" w:hAnsi="Wingdings" w:hint="default"/>
      </w:rPr>
    </w:lvl>
  </w:abstractNum>
  <w:abstractNum w:abstractNumId="3" w15:restartNumberingAfterBreak="0">
    <w:nsid w:val="5C6ED2BC"/>
    <w:multiLevelType w:val="hybridMultilevel"/>
    <w:tmpl w:val="EE282D5E"/>
    <w:lvl w:ilvl="0" w:tplc="DEB8C664">
      <w:start w:val="1"/>
      <w:numFmt w:val="bullet"/>
      <w:lvlText w:val=""/>
      <w:lvlJc w:val="left"/>
      <w:pPr>
        <w:ind w:left="720" w:hanging="360"/>
      </w:pPr>
      <w:rPr>
        <w:rFonts w:ascii="Symbol" w:hAnsi="Symbol" w:hint="default"/>
      </w:rPr>
    </w:lvl>
    <w:lvl w:ilvl="1" w:tplc="A4B2AC44">
      <w:start w:val="1"/>
      <w:numFmt w:val="bullet"/>
      <w:lvlText w:val="o"/>
      <w:lvlJc w:val="left"/>
      <w:pPr>
        <w:ind w:left="1440" w:hanging="360"/>
      </w:pPr>
      <w:rPr>
        <w:rFonts w:ascii="Courier New" w:hAnsi="Courier New" w:hint="default"/>
      </w:rPr>
    </w:lvl>
    <w:lvl w:ilvl="2" w:tplc="47329B28">
      <w:start w:val="1"/>
      <w:numFmt w:val="bullet"/>
      <w:lvlText w:val=""/>
      <w:lvlJc w:val="left"/>
      <w:pPr>
        <w:ind w:left="2160" w:hanging="360"/>
      </w:pPr>
      <w:rPr>
        <w:rFonts w:ascii="Wingdings" w:hAnsi="Wingdings" w:hint="default"/>
      </w:rPr>
    </w:lvl>
    <w:lvl w:ilvl="3" w:tplc="B8FE69E0">
      <w:start w:val="1"/>
      <w:numFmt w:val="bullet"/>
      <w:lvlText w:val=""/>
      <w:lvlJc w:val="left"/>
      <w:pPr>
        <w:ind w:left="2880" w:hanging="360"/>
      </w:pPr>
      <w:rPr>
        <w:rFonts w:ascii="Symbol" w:hAnsi="Symbol" w:hint="default"/>
      </w:rPr>
    </w:lvl>
    <w:lvl w:ilvl="4" w:tplc="2EF24130">
      <w:start w:val="1"/>
      <w:numFmt w:val="bullet"/>
      <w:lvlText w:val="o"/>
      <w:lvlJc w:val="left"/>
      <w:pPr>
        <w:ind w:left="3600" w:hanging="360"/>
      </w:pPr>
      <w:rPr>
        <w:rFonts w:ascii="Courier New" w:hAnsi="Courier New" w:hint="default"/>
      </w:rPr>
    </w:lvl>
    <w:lvl w:ilvl="5" w:tplc="3AE24EAE">
      <w:start w:val="1"/>
      <w:numFmt w:val="bullet"/>
      <w:lvlText w:val=""/>
      <w:lvlJc w:val="left"/>
      <w:pPr>
        <w:ind w:left="4320" w:hanging="360"/>
      </w:pPr>
      <w:rPr>
        <w:rFonts w:ascii="Wingdings" w:hAnsi="Wingdings" w:hint="default"/>
      </w:rPr>
    </w:lvl>
    <w:lvl w:ilvl="6" w:tplc="D3620DF2">
      <w:start w:val="1"/>
      <w:numFmt w:val="bullet"/>
      <w:lvlText w:val=""/>
      <w:lvlJc w:val="left"/>
      <w:pPr>
        <w:ind w:left="5040" w:hanging="360"/>
      </w:pPr>
      <w:rPr>
        <w:rFonts w:ascii="Symbol" w:hAnsi="Symbol" w:hint="default"/>
      </w:rPr>
    </w:lvl>
    <w:lvl w:ilvl="7" w:tplc="6876DE72">
      <w:start w:val="1"/>
      <w:numFmt w:val="bullet"/>
      <w:lvlText w:val="o"/>
      <w:lvlJc w:val="left"/>
      <w:pPr>
        <w:ind w:left="5760" w:hanging="360"/>
      </w:pPr>
      <w:rPr>
        <w:rFonts w:ascii="Courier New" w:hAnsi="Courier New" w:hint="default"/>
      </w:rPr>
    </w:lvl>
    <w:lvl w:ilvl="8" w:tplc="61F8C200">
      <w:start w:val="1"/>
      <w:numFmt w:val="bullet"/>
      <w:lvlText w:val=""/>
      <w:lvlJc w:val="left"/>
      <w:pPr>
        <w:ind w:left="6480" w:hanging="360"/>
      </w:pPr>
      <w:rPr>
        <w:rFonts w:ascii="Wingdings" w:hAnsi="Wingdings" w:hint="default"/>
      </w:rPr>
    </w:lvl>
  </w:abstractNum>
  <w:abstractNum w:abstractNumId="4" w15:restartNumberingAfterBreak="0">
    <w:nsid w:val="75BA3BCE"/>
    <w:multiLevelType w:val="hybridMultilevel"/>
    <w:tmpl w:val="028C19A8"/>
    <w:lvl w:ilvl="0" w:tplc="9268359A">
      <w:start w:val="1"/>
      <w:numFmt w:val="bullet"/>
      <w:lvlText w:val=""/>
      <w:lvlJc w:val="left"/>
      <w:pPr>
        <w:ind w:left="720" w:hanging="360"/>
      </w:pPr>
      <w:rPr>
        <w:rFonts w:ascii="Symbol" w:hAnsi="Symbol" w:hint="default"/>
      </w:rPr>
    </w:lvl>
    <w:lvl w:ilvl="1" w:tplc="DFFC65C2">
      <w:start w:val="1"/>
      <w:numFmt w:val="bullet"/>
      <w:lvlText w:val="o"/>
      <w:lvlJc w:val="left"/>
      <w:pPr>
        <w:ind w:left="1440" w:hanging="360"/>
      </w:pPr>
      <w:rPr>
        <w:rFonts w:ascii="Courier New" w:hAnsi="Courier New" w:hint="default"/>
      </w:rPr>
    </w:lvl>
    <w:lvl w:ilvl="2" w:tplc="27C882A0">
      <w:start w:val="1"/>
      <w:numFmt w:val="bullet"/>
      <w:lvlText w:val=""/>
      <w:lvlJc w:val="left"/>
      <w:pPr>
        <w:ind w:left="2160" w:hanging="360"/>
      </w:pPr>
      <w:rPr>
        <w:rFonts w:ascii="Wingdings" w:hAnsi="Wingdings" w:hint="default"/>
      </w:rPr>
    </w:lvl>
    <w:lvl w:ilvl="3" w:tplc="C2FE3802">
      <w:start w:val="1"/>
      <w:numFmt w:val="bullet"/>
      <w:lvlText w:val=""/>
      <w:lvlJc w:val="left"/>
      <w:pPr>
        <w:ind w:left="2880" w:hanging="360"/>
      </w:pPr>
      <w:rPr>
        <w:rFonts w:ascii="Symbol" w:hAnsi="Symbol" w:hint="default"/>
      </w:rPr>
    </w:lvl>
    <w:lvl w:ilvl="4" w:tplc="20DCE0E6">
      <w:start w:val="1"/>
      <w:numFmt w:val="bullet"/>
      <w:lvlText w:val="o"/>
      <w:lvlJc w:val="left"/>
      <w:pPr>
        <w:ind w:left="3600" w:hanging="360"/>
      </w:pPr>
      <w:rPr>
        <w:rFonts w:ascii="Courier New" w:hAnsi="Courier New" w:hint="default"/>
      </w:rPr>
    </w:lvl>
    <w:lvl w:ilvl="5" w:tplc="9CD081B6">
      <w:start w:val="1"/>
      <w:numFmt w:val="bullet"/>
      <w:lvlText w:val=""/>
      <w:lvlJc w:val="left"/>
      <w:pPr>
        <w:ind w:left="4320" w:hanging="360"/>
      </w:pPr>
      <w:rPr>
        <w:rFonts w:ascii="Wingdings" w:hAnsi="Wingdings" w:hint="default"/>
      </w:rPr>
    </w:lvl>
    <w:lvl w:ilvl="6" w:tplc="AEB4D8F8">
      <w:start w:val="1"/>
      <w:numFmt w:val="bullet"/>
      <w:lvlText w:val=""/>
      <w:lvlJc w:val="left"/>
      <w:pPr>
        <w:ind w:left="5040" w:hanging="360"/>
      </w:pPr>
      <w:rPr>
        <w:rFonts w:ascii="Symbol" w:hAnsi="Symbol" w:hint="default"/>
      </w:rPr>
    </w:lvl>
    <w:lvl w:ilvl="7" w:tplc="4F0E28B8">
      <w:start w:val="1"/>
      <w:numFmt w:val="bullet"/>
      <w:lvlText w:val="o"/>
      <w:lvlJc w:val="left"/>
      <w:pPr>
        <w:ind w:left="5760" w:hanging="360"/>
      </w:pPr>
      <w:rPr>
        <w:rFonts w:ascii="Courier New" w:hAnsi="Courier New" w:hint="default"/>
      </w:rPr>
    </w:lvl>
    <w:lvl w:ilvl="8" w:tplc="7D5A68E4">
      <w:start w:val="1"/>
      <w:numFmt w:val="bullet"/>
      <w:lvlText w:val=""/>
      <w:lvlJc w:val="left"/>
      <w:pPr>
        <w:ind w:left="6480" w:hanging="360"/>
      </w:pPr>
      <w:rPr>
        <w:rFonts w:ascii="Wingdings" w:hAnsi="Wingdings" w:hint="default"/>
      </w:rPr>
    </w:lvl>
  </w:abstractNum>
  <w:abstractNum w:abstractNumId="5" w15:restartNumberingAfterBreak="0">
    <w:nsid w:val="7A6BE1C2"/>
    <w:multiLevelType w:val="hybridMultilevel"/>
    <w:tmpl w:val="540A933C"/>
    <w:lvl w:ilvl="0" w:tplc="C98EF0D6">
      <w:start w:val="1"/>
      <w:numFmt w:val="bullet"/>
      <w:lvlText w:val=""/>
      <w:lvlJc w:val="left"/>
      <w:pPr>
        <w:ind w:left="720" w:hanging="360"/>
      </w:pPr>
      <w:rPr>
        <w:rFonts w:ascii="Symbol" w:hAnsi="Symbol" w:hint="default"/>
      </w:rPr>
    </w:lvl>
    <w:lvl w:ilvl="1" w:tplc="EA36DE2E">
      <w:start w:val="1"/>
      <w:numFmt w:val="bullet"/>
      <w:lvlText w:val="o"/>
      <w:lvlJc w:val="left"/>
      <w:pPr>
        <w:ind w:left="1440" w:hanging="360"/>
      </w:pPr>
      <w:rPr>
        <w:rFonts w:ascii="Courier New" w:hAnsi="Courier New" w:hint="default"/>
      </w:rPr>
    </w:lvl>
    <w:lvl w:ilvl="2" w:tplc="25885ACE">
      <w:start w:val="1"/>
      <w:numFmt w:val="bullet"/>
      <w:lvlText w:val=""/>
      <w:lvlJc w:val="left"/>
      <w:pPr>
        <w:ind w:left="2160" w:hanging="360"/>
      </w:pPr>
      <w:rPr>
        <w:rFonts w:ascii="Wingdings" w:hAnsi="Wingdings" w:hint="default"/>
      </w:rPr>
    </w:lvl>
    <w:lvl w:ilvl="3" w:tplc="1222019E">
      <w:start w:val="1"/>
      <w:numFmt w:val="bullet"/>
      <w:lvlText w:val=""/>
      <w:lvlJc w:val="left"/>
      <w:pPr>
        <w:ind w:left="2880" w:hanging="360"/>
      </w:pPr>
      <w:rPr>
        <w:rFonts w:ascii="Symbol" w:hAnsi="Symbol" w:hint="default"/>
      </w:rPr>
    </w:lvl>
    <w:lvl w:ilvl="4" w:tplc="823CB03C">
      <w:start w:val="1"/>
      <w:numFmt w:val="bullet"/>
      <w:lvlText w:val="o"/>
      <w:lvlJc w:val="left"/>
      <w:pPr>
        <w:ind w:left="3600" w:hanging="360"/>
      </w:pPr>
      <w:rPr>
        <w:rFonts w:ascii="Courier New" w:hAnsi="Courier New" w:hint="default"/>
      </w:rPr>
    </w:lvl>
    <w:lvl w:ilvl="5" w:tplc="8190EA7C">
      <w:start w:val="1"/>
      <w:numFmt w:val="bullet"/>
      <w:lvlText w:val=""/>
      <w:lvlJc w:val="left"/>
      <w:pPr>
        <w:ind w:left="4320" w:hanging="360"/>
      </w:pPr>
      <w:rPr>
        <w:rFonts w:ascii="Wingdings" w:hAnsi="Wingdings" w:hint="default"/>
      </w:rPr>
    </w:lvl>
    <w:lvl w:ilvl="6" w:tplc="3842916A">
      <w:start w:val="1"/>
      <w:numFmt w:val="bullet"/>
      <w:lvlText w:val=""/>
      <w:lvlJc w:val="left"/>
      <w:pPr>
        <w:ind w:left="5040" w:hanging="360"/>
      </w:pPr>
      <w:rPr>
        <w:rFonts w:ascii="Symbol" w:hAnsi="Symbol" w:hint="default"/>
      </w:rPr>
    </w:lvl>
    <w:lvl w:ilvl="7" w:tplc="39A25B0A">
      <w:start w:val="1"/>
      <w:numFmt w:val="bullet"/>
      <w:lvlText w:val="o"/>
      <w:lvlJc w:val="left"/>
      <w:pPr>
        <w:ind w:left="5760" w:hanging="360"/>
      </w:pPr>
      <w:rPr>
        <w:rFonts w:ascii="Courier New" w:hAnsi="Courier New" w:hint="default"/>
      </w:rPr>
    </w:lvl>
    <w:lvl w:ilvl="8" w:tplc="15D4EB10">
      <w:start w:val="1"/>
      <w:numFmt w:val="bullet"/>
      <w:lvlText w:val=""/>
      <w:lvlJc w:val="left"/>
      <w:pPr>
        <w:ind w:left="6480" w:hanging="360"/>
      </w:pPr>
      <w:rPr>
        <w:rFonts w:ascii="Wingdings" w:hAnsi="Wingdings" w:hint="default"/>
      </w:rPr>
    </w:lvl>
  </w:abstractNum>
  <w:num w:numId="1" w16cid:durableId="454175715">
    <w:abstractNumId w:val="4"/>
  </w:num>
  <w:num w:numId="2" w16cid:durableId="1492595442">
    <w:abstractNumId w:val="0"/>
  </w:num>
  <w:num w:numId="3" w16cid:durableId="292949365">
    <w:abstractNumId w:val="2"/>
  </w:num>
  <w:num w:numId="4" w16cid:durableId="357050677">
    <w:abstractNumId w:val="5"/>
  </w:num>
  <w:num w:numId="5" w16cid:durableId="1840458866">
    <w:abstractNumId w:val="3"/>
  </w:num>
  <w:num w:numId="6" w16cid:durableId="86116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D0"/>
    <w:rsid w:val="000057B6"/>
    <w:rsid w:val="0001045E"/>
    <w:rsid w:val="00013AA8"/>
    <w:rsid w:val="00015AFC"/>
    <w:rsid w:val="00016331"/>
    <w:rsid w:val="00016C63"/>
    <w:rsid w:val="00020DE3"/>
    <w:rsid w:val="00030483"/>
    <w:rsid w:val="00036BD9"/>
    <w:rsid w:val="00042FC3"/>
    <w:rsid w:val="000465F4"/>
    <w:rsid w:val="000544E7"/>
    <w:rsid w:val="0005697E"/>
    <w:rsid w:val="00064E29"/>
    <w:rsid w:val="00065BBE"/>
    <w:rsid w:val="00070C3A"/>
    <w:rsid w:val="00070E49"/>
    <w:rsid w:val="000712CE"/>
    <w:rsid w:val="000779B6"/>
    <w:rsid w:val="0008749A"/>
    <w:rsid w:val="000A04D5"/>
    <w:rsid w:val="000A298C"/>
    <w:rsid w:val="000A3C1A"/>
    <w:rsid w:val="000A5FB5"/>
    <w:rsid w:val="000B465F"/>
    <w:rsid w:val="000B508A"/>
    <w:rsid w:val="000B7EEE"/>
    <w:rsid w:val="000C16D5"/>
    <w:rsid w:val="000D2592"/>
    <w:rsid w:val="000D4F88"/>
    <w:rsid w:val="000D78DA"/>
    <w:rsid w:val="000E109E"/>
    <w:rsid w:val="000E19A2"/>
    <w:rsid w:val="000E7FBB"/>
    <w:rsid w:val="000F2A7E"/>
    <w:rsid w:val="000F6539"/>
    <w:rsid w:val="00100165"/>
    <w:rsid w:val="00104BAA"/>
    <w:rsid w:val="00105F7F"/>
    <w:rsid w:val="00114806"/>
    <w:rsid w:val="00116784"/>
    <w:rsid w:val="00124803"/>
    <w:rsid w:val="00126806"/>
    <w:rsid w:val="00127214"/>
    <w:rsid w:val="00130E27"/>
    <w:rsid w:val="0014382D"/>
    <w:rsid w:val="00153ECD"/>
    <w:rsid w:val="00153F5E"/>
    <w:rsid w:val="00157CA4"/>
    <w:rsid w:val="00166DB7"/>
    <w:rsid w:val="00173F7E"/>
    <w:rsid w:val="0017604F"/>
    <w:rsid w:val="00177034"/>
    <w:rsid w:val="00177244"/>
    <w:rsid w:val="001836BE"/>
    <w:rsid w:val="00196380"/>
    <w:rsid w:val="00196A70"/>
    <w:rsid w:val="001A1BAE"/>
    <w:rsid w:val="001A3717"/>
    <w:rsid w:val="001B215B"/>
    <w:rsid w:val="001B3A1F"/>
    <w:rsid w:val="001B4A98"/>
    <w:rsid w:val="001C7030"/>
    <w:rsid w:val="001D29D3"/>
    <w:rsid w:val="001D4890"/>
    <w:rsid w:val="001E5DB6"/>
    <w:rsid w:val="001E6D98"/>
    <w:rsid w:val="001F2805"/>
    <w:rsid w:val="001F4075"/>
    <w:rsid w:val="002013BA"/>
    <w:rsid w:val="00203013"/>
    <w:rsid w:val="0020325C"/>
    <w:rsid w:val="00206CD4"/>
    <w:rsid w:val="002138BD"/>
    <w:rsid w:val="00214938"/>
    <w:rsid w:val="00230814"/>
    <w:rsid w:val="0023666B"/>
    <w:rsid w:val="002438F3"/>
    <w:rsid w:val="00251FC9"/>
    <w:rsid w:val="00252ED2"/>
    <w:rsid w:val="0025303E"/>
    <w:rsid w:val="00264DE7"/>
    <w:rsid w:val="00266425"/>
    <w:rsid w:val="00272623"/>
    <w:rsid w:val="002878CA"/>
    <w:rsid w:val="0029228B"/>
    <w:rsid w:val="002952E0"/>
    <w:rsid w:val="002A6097"/>
    <w:rsid w:val="002A7BEA"/>
    <w:rsid w:val="002B7492"/>
    <w:rsid w:val="002B7C9D"/>
    <w:rsid w:val="002D6802"/>
    <w:rsid w:val="002E4CB5"/>
    <w:rsid w:val="002E4FCC"/>
    <w:rsid w:val="002E57A2"/>
    <w:rsid w:val="002E6FEB"/>
    <w:rsid w:val="002F5F50"/>
    <w:rsid w:val="00302CC1"/>
    <w:rsid w:val="003112FD"/>
    <w:rsid w:val="00312C6A"/>
    <w:rsid w:val="00312E51"/>
    <w:rsid w:val="00326134"/>
    <w:rsid w:val="00342403"/>
    <w:rsid w:val="003431BC"/>
    <w:rsid w:val="00343C9C"/>
    <w:rsid w:val="00345285"/>
    <w:rsid w:val="003456B6"/>
    <w:rsid w:val="003662D4"/>
    <w:rsid w:val="00366313"/>
    <w:rsid w:val="00366C43"/>
    <w:rsid w:val="00371E67"/>
    <w:rsid w:val="003936D9"/>
    <w:rsid w:val="003A3161"/>
    <w:rsid w:val="003A4487"/>
    <w:rsid w:val="003B102C"/>
    <w:rsid w:val="003B5FCF"/>
    <w:rsid w:val="003C08CC"/>
    <w:rsid w:val="003C1177"/>
    <w:rsid w:val="003C1D9C"/>
    <w:rsid w:val="003C3890"/>
    <w:rsid w:val="003C6C97"/>
    <w:rsid w:val="003D4F97"/>
    <w:rsid w:val="003D7CF5"/>
    <w:rsid w:val="003E1D3E"/>
    <w:rsid w:val="003E38C2"/>
    <w:rsid w:val="003E494A"/>
    <w:rsid w:val="003E67CF"/>
    <w:rsid w:val="003F4725"/>
    <w:rsid w:val="003F6737"/>
    <w:rsid w:val="004125D5"/>
    <w:rsid w:val="00416491"/>
    <w:rsid w:val="0042260D"/>
    <w:rsid w:val="00422A8A"/>
    <w:rsid w:val="004233DF"/>
    <w:rsid w:val="00437196"/>
    <w:rsid w:val="00444460"/>
    <w:rsid w:val="00444D9E"/>
    <w:rsid w:val="00445545"/>
    <w:rsid w:val="004521CD"/>
    <w:rsid w:val="00455EB0"/>
    <w:rsid w:val="00472537"/>
    <w:rsid w:val="0047340E"/>
    <w:rsid w:val="00480C65"/>
    <w:rsid w:val="00485F4B"/>
    <w:rsid w:val="004867AB"/>
    <w:rsid w:val="00491C21"/>
    <w:rsid w:val="0049229B"/>
    <w:rsid w:val="004A2D21"/>
    <w:rsid w:val="004A6C2D"/>
    <w:rsid w:val="004B2147"/>
    <w:rsid w:val="004B7965"/>
    <w:rsid w:val="004B7E15"/>
    <w:rsid w:val="004E0165"/>
    <w:rsid w:val="004E2087"/>
    <w:rsid w:val="004E5598"/>
    <w:rsid w:val="004E6175"/>
    <w:rsid w:val="0051195B"/>
    <w:rsid w:val="005144ED"/>
    <w:rsid w:val="00525000"/>
    <w:rsid w:val="005255F1"/>
    <w:rsid w:val="00525800"/>
    <w:rsid w:val="00541426"/>
    <w:rsid w:val="005435D7"/>
    <w:rsid w:val="005527AE"/>
    <w:rsid w:val="00553BE0"/>
    <w:rsid w:val="00554301"/>
    <w:rsid w:val="00563BE9"/>
    <w:rsid w:val="005648B0"/>
    <w:rsid w:val="00574397"/>
    <w:rsid w:val="00577DA7"/>
    <w:rsid w:val="00577EAE"/>
    <w:rsid w:val="005813A9"/>
    <w:rsid w:val="005851DA"/>
    <w:rsid w:val="00585D8C"/>
    <w:rsid w:val="00591040"/>
    <w:rsid w:val="005A0BBD"/>
    <w:rsid w:val="005B0886"/>
    <w:rsid w:val="005C1544"/>
    <w:rsid w:val="005D2123"/>
    <w:rsid w:val="005D2525"/>
    <w:rsid w:val="005D5FEE"/>
    <w:rsid w:val="005D77E4"/>
    <w:rsid w:val="005E2AF8"/>
    <w:rsid w:val="005E6BBA"/>
    <w:rsid w:val="005F093D"/>
    <w:rsid w:val="005F53FE"/>
    <w:rsid w:val="0060247C"/>
    <w:rsid w:val="006032EF"/>
    <w:rsid w:val="00612658"/>
    <w:rsid w:val="00615C80"/>
    <w:rsid w:val="006170A6"/>
    <w:rsid w:val="006268F5"/>
    <w:rsid w:val="00640161"/>
    <w:rsid w:val="0064211C"/>
    <w:rsid w:val="0064382D"/>
    <w:rsid w:val="006547FF"/>
    <w:rsid w:val="006643C2"/>
    <w:rsid w:val="006657CA"/>
    <w:rsid w:val="00665FFB"/>
    <w:rsid w:val="00671257"/>
    <w:rsid w:val="0067271B"/>
    <w:rsid w:val="0067333F"/>
    <w:rsid w:val="00680AE5"/>
    <w:rsid w:val="00693D25"/>
    <w:rsid w:val="0069721D"/>
    <w:rsid w:val="006C1DB0"/>
    <w:rsid w:val="006C367F"/>
    <w:rsid w:val="006C3BE8"/>
    <w:rsid w:val="006C3E84"/>
    <w:rsid w:val="006E35DC"/>
    <w:rsid w:val="006E5CC5"/>
    <w:rsid w:val="006F3A58"/>
    <w:rsid w:val="006F63AF"/>
    <w:rsid w:val="006F6A15"/>
    <w:rsid w:val="007028B8"/>
    <w:rsid w:val="00707C19"/>
    <w:rsid w:val="00712C23"/>
    <w:rsid w:val="0071639C"/>
    <w:rsid w:val="0072161D"/>
    <w:rsid w:val="00733263"/>
    <w:rsid w:val="007346D8"/>
    <w:rsid w:val="0073490B"/>
    <w:rsid w:val="00736980"/>
    <w:rsid w:val="007430B8"/>
    <w:rsid w:val="0074402A"/>
    <w:rsid w:val="007473E5"/>
    <w:rsid w:val="00752329"/>
    <w:rsid w:val="00752BAF"/>
    <w:rsid w:val="007566C3"/>
    <w:rsid w:val="00757A64"/>
    <w:rsid w:val="00772912"/>
    <w:rsid w:val="00776FDC"/>
    <w:rsid w:val="007878FF"/>
    <w:rsid w:val="00791A1D"/>
    <w:rsid w:val="00795FD2"/>
    <w:rsid w:val="007B1E2E"/>
    <w:rsid w:val="007B4390"/>
    <w:rsid w:val="007B735C"/>
    <w:rsid w:val="007B756E"/>
    <w:rsid w:val="007C1158"/>
    <w:rsid w:val="007C14F2"/>
    <w:rsid w:val="007C57B4"/>
    <w:rsid w:val="007D104B"/>
    <w:rsid w:val="007D3FEF"/>
    <w:rsid w:val="007D62C2"/>
    <w:rsid w:val="007E2F76"/>
    <w:rsid w:val="007EC585"/>
    <w:rsid w:val="007F3B2E"/>
    <w:rsid w:val="007F3E69"/>
    <w:rsid w:val="007F55A2"/>
    <w:rsid w:val="007F64D9"/>
    <w:rsid w:val="00804B3B"/>
    <w:rsid w:val="00805C7B"/>
    <w:rsid w:val="008070FD"/>
    <w:rsid w:val="0081347C"/>
    <w:rsid w:val="00813482"/>
    <w:rsid w:val="008179BF"/>
    <w:rsid w:val="008256C3"/>
    <w:rsid w:val="0083051F"/>
    <w:rsid w:val="00831359"/>
    <w:rsid w:val="00855772"/>
    <w:rsid w:val="00860CE2"/>
    <w:rsid w:val="0086439C"/>
    <w:rsid w:val="0086664E"/>
    <w:rsid w:val="00873BA1"/>
    <w:rsid w:val="00882608"/>
    <w:rsid w:val="00893408"/>
    <w:rsid w:val="008963AD"/>
    <w:rsid w:val="00897B2D"/>
    <w:rsid w:val="008A32AC"/>
    <w:rsid w:val="008A7000"/>
    <w:rsid w:val="008B4245"/>
    <w:rsid w:val="008C5B85"/>
    <w:rsid w:val="008C69F0"/>
    <w:rsid w:val="008C7E12"/>
    <w:rsid w:val="008D16CE"/>
    <w:rsid w:val="008D29F9"/>
    <w:rsid w:val="008E62FD"/>
    <w:rsid w:val="008E7C91"/>
    <w:rsid w:val="008F38AC"/>
    <w:rsid w:val="008F4067"/>
    <w:rsid w:val="008F4D96"/>
    <w:rsid w:val="00900E87"/>
    <w:rsid w:val="009049ED"/>
    <w:rsid w:val="009077DC"/>
    <w:rsid w:val="009108D6"/>
    <w:rsid w:val="0091625E"/>
    <w:rsid w:val="00917644"/>
    <w:rsid w:val="009269E8"/>
    <w:rsid w:val="00943E29"/>
    <w:rsid w:val="00946771"/>
    <w:rsid w:val="00946D51"/>
    <w:rsid w:val="00953BBF"/>
    <w:rsid w:val="00957FAB"/>
    <w:rsid w:val="00963397"/>
    <w:rsid w:val="00966120"/>
    <w:rsid w:val="00966C4C"/>
    <w:rsid w:val="00971482"/>
    <w:rsid w:val="00974C34"/>
    <w:rsid w:val="009811DC"/>
    <w:rsid w:val="009836A1"/>
    <w:rsid w:val="00990040"/>
    <w:rsid w:val="009B07EE"/>
    <w:rsid w:val="009B27C9"/>
    <w:rsid w:val="009B3043"/>
    <w:rsid w:val="009B7EBA"/>
    <w:rsid w:val="009D369B"/>
    <w:rsid w:val="009F58EF"/>
    <w:rsid w:val="009F6386"/>
    <w:rsid w:val="009F7187"/>
    <w:rsid w:val="009F7E06"/>
    <w:rsid w:val="00A0094E"/>
    <w:rsid w:val="00A0314C"/>
    <w:rsid w:val="00A05344"/>
    <w:rsid w:val="00A075D8"/>
    <w:rsid w:val="00A20D3D"/>
    <w:rsid w:val="00A23CE1"/>
    <w:rsid w:val="00A32472"/>
    <w:rsid w:val="00A457CC"/>
    <w:rsid w:val="00A57CA6"/>
    <w:rsid w:val="00A66FD6"/>
    <w:rsid w:val="00A71E2A"/>
    <w:rsid w:val="00A7342B"/>
    <w:rsid w:val="00A73BE9"/>
    <w:rsid w:val="00A74FB0"/>
    <w:rsid w:val="00A8036F"/>
    <w:rsid w:val="00A81166"/>
    <w:rsid w:val="00A8186A"/>
    <w:rsid w:val="00A8468E"/>
    <w:rsid w:val="00A87A45"/>
    <w:rsid w:val="00A9007F"/>
    <w:rsid w:val="00AA5B2D"/>
    <w:rsid w:val="00AA6B3B"/>
    <w:rsid w:val="00AB017F"/>
    <w:rsid w:val="00AB56B1"/>
    <w:rsid w:val="00AB710A"/>
    <w:rsid w:val="00AC4017"/>
    <w:rsid w:val="00AD06B4"/>
    <w:rsid w:val="00AD3955"/>
    <w:rsid w:val="00AD6A1E"/>
    <w:rsid w:val="00AD71AD"/>
    <w:rsid w:val="00AF7223"/>
    <w:rsid w:val="00AF7C40"/>
    <w:rsid w:val="00AF7ECC"/>
    <w:rsid w:val="00B06504"/>
    <w:rsid w:val="00B106F9"/>
    <w:rsid w:val="00B1155A"/>
    <w:rsid w:val="00B13313"/>
    <w:rsid w:val="00B2425E"/>
    <w:rsid w:val="00B243FE"/>
    <w:rsid w:val="00B277B8"/>
    <w:rsid w:val="00B34C9E"/>
    <w:rsid w:val="00B37A5E"/>
    <w:rsid w:val="00B449BE"/>
    <w:rsid w:val="00B45379"/>
    <w:rsid w:val="00B47E90"/>
    <w:rsid w:val="00B503C0"/>
    <w:rsid w:val="00B5059B"/>
    <w:rsid w:val="00B5CCB0"/>
    <w:rsid w:val="00B609A5"/>
    <w:rsid w:val="00B664DE"/>
    <w:rsid w:val="00B67807"/>
    <w:rsid w:val="00B747A8"/>
    <w:rsid w:val="00B76807"/>
    <w:rsid w:val="00B80E62"/>
    <w:rsid w:val="00B860D2"/>
    <w:rsid w:val="00B915C9"/>
    <w:rsid w:val="00B92213"/>
    <w:rsid w:val="00B92830"/>
    <w:rsid w:val="00B979D4"/>
    <w:rsid w:val="00BA560D"/>
    <w:rsid w:val="00BC1DF1"/>
    <w:rsid w:val="00BC302C"/>
    <w:rsid w:val="00BD20EA"/>
    <w:rsid w:val="00BE03A8"/>
    <w:rsid w:val="00BE2523"/>
    <w:rsid w:val="00BE25D8"/>
    <w:rsid w:val="00BE4909"/>
    <w:rsid w:val="00BE7E57"/>
    <w:rsid w:val="00BF11D2"/>
    <w:rsid w:val="00BF17D0"/>
    <w:rsid w:val="00BF4F48"/>
    <w:rsid w:val="00BF534C"/>
    <w:rsid w:val="00C00703"/>
    <w:rsid w:val="00C045A8"/>
    <w:rsid w:val="00C12920"/>
    <w:rsid w:val="00C13422"/>
    <w:rsid w:val="00C13E5C"/>
    <w:rsid w:val="00C1564B"/>
    <w:rsid w:val="00C16258"/>
    <w:rsid w:val="00C20C01"/>
    <w:rsid w:val="00C214B9"/>
    <w:rsid w:val="00C34AA1"/>
    <w:rsid w:val="00C36736"/>
    <w:rsid w:val="00C437CF"/>
    <w:rsid w:val="00C550BB"/>
    <w:rsid w:val="00C5544A"/>
    <w:rsid w:val="00C56737"/>
    <w:rsid w:val="00C70BB5"/>
    <w:rsid w:val="00C74CF1"/>
    <w:rsid w:val="00C77E52"/>
    <w:rsid w:val="00C8165B"/>
    <w:rsid w:val="00C86DA0"/>
    <w:rsid w:val="00C91BE8"/>
    <w:rsid w:val="00C96960"/>
    <w:rsid w:val="00C9773C"/>
    <w:rsid w:val="00CA1757"/>
    <w:rsid w:val="00CA64D9"/>
    <w:rsid w:val="00CB6C2B"/>
    <w:rsid w:val="00CD10B4"/>
    <w:rsid w:val="00CD3746"/>
    <w:rsid w:val="00CD4F3F"/>
    <w:rsid w:val="00CD6AE0"/>
    <w:rsid w:val="00CD7385"/>
    <w:rsid w:val="00CE2106"/>
    <w:rsid w:val="00CE2295"/>
    <w:rsid w:val="00CE31F3"/>
    <w:rsid w:val="00CE7DCC"/>
    <w:rsid w:val="00D07CB8"/>
    <w:rsid w:val="00D11D65"/>
    <w:rsid w:val="00D13271"/>
    <w:rsid w:val="00D13D1B"/>
    <w:rsid w:val="00D2472B"/>
    <w:rsid w:val="00D32371"/>
    <w:rsid w:val="00D355D6"/>
    <w:rsid w:val="00D40468"/>
    <w:rsid w:val="00D40821"/>
    <w:rsid w:val="00D41C55"/>
    <w:rsid w:val="00D41C58"/>
    <w:rsid w:val="00D42FD0"/>
    <w:rsid w:val="00D4309D"/>
    <w:rsid w:val="00D4326F"/>
    <w:rsid w:val="00D50A71"/>
    <w:rsid w:val="00D5221F"/>
    <w:rsid w:val="00D52DE0"/>
    <w:rsid w:val="00D53C24"/>
    <w:rsid w:val="00D62601"/>
    <w:rsid w:val="00D62A6F"/>
    <w:rsid w:val="00D71288"/>
    <w:rsid w:val="00D75F3E"/>
    <w:rsid w:val="00D80515"/>
    <w:rsid w:val="00D81964"/>
    <w:rsid w:val="00D81FE4"/>
    <w:rsid w:val="00D8684C"/>
    <w:rsid w:val="00D87673"/>
    <w:rsid w:val="00D92C43"/>
    <w:rsid w:val="00D93551"/>
    <w:rsid w:val="00DA00ED"/>
    <w:rsid w:val="00DA675E"/>
    <w:rsid w:val="00DC044A"/>
    <w:rsid w:val="00DC1109"/>
    <w:rsid w:val="00DC7C37"/>
    <w:rsid w:val="00DE1810"/>
    <w:rsid w:val="00DF2E25"/>
    <w:rsid w:val="00DF6365"/>
    <w:rsid w:val="00DF6A6C"/>
    <w:rsid w:val="00E050B7"/>
    <w:rsid w:val="00E0646E"/>
    <w:rsid w:val="00E15C5E"/>
    <w:rsid w:val="00E203F5"/>
    <w:rsid w:val="00E2516B"/>
    <w:rsid w:val="00E256E8"/>
    <w:rsid w:val="00E25C6A"/>
    <w:rsid w:val="00E268AE"/>
    <w:rsid w:val="00E3143C"/>
    <w:rsid w:val="00E3588B"/>
    <w:rsid w:val="00E35CE6"/>
    <w:rsid w:val="00E36ECB"/>
    <w:rsid w:val="00E46536"/>
    <w:rsid w:val="00E5213E"/>
    <w:rsid w:val="00E567FF"/>
    <w:rsid w:val="00E5758F"/>
    <w:rsid w:val="00E7199E"/>
    <w:rsid w:val="00E72B7F"/>
    <w:rsid w:val="00E75C80"/>
    <w:rsid w:val="00E777F2"/>
    <w:rsid w:val="00E8063D"/>
    <w:rsid w:val="00E85B7F"/>
    <w:rsid w:val="00E9299D"/>
    <w:rsid w:val="00E949D4"/>
    <w:rsid w:val="00EA469D"/>
    <w:rsid w:val="00EA4CC7"/>
    <w:rsid w:val="00EA526F"/>
    <w:rsid w:val="00EB7A83"/>
    <w:rsid w:val="00EC0C38"/>
    <w:rsid w:val="00EC5484"/>
    <w:rsid w:val="00ED1A86"/>
    <w:rsid w:val="00ED28AA"/>
    <w:rsid w:val="00ED599E"/>
    <w:rsid w:val="00EE0B6C"/>
    <w:rsid w:val="00EE37F0"/>
    <w:rsid w:val="00EF70E8"/>
    <w:rsid w:val="00F018F5"/>
    <w:rsid w:val="00F05E40"/>
    <w:rsid w:val="00F131F3"/>
    <w:rsid w:val="00F203F5"/>
    <w:rsid w:val="00F21E82"/>
    <w:rsid w:val="00F2301F"/>
    <w:rsid w:val="00F27782"/>
    <w:rsid w:val="00F34BD3"/>
    <w:rsid w:val="00F35EDB"/>
    <w:rsid w:val="00F44757"/>
    <w:rsid w:val="00F51C38"/>
    <w:rsid w:val="00F5266A"/>
    <w:rsid w:val="00F546D8"/>
    <w:rsid w:val="00F56397"/>
    <w:rsid w:val="00F60D60"/>
    <w:rsid w:val="00F61DB6"/>
    <w:rsid w:val="00F6FCF9"/>
    <w:rsid w:val="00F721F0"/>
    <w:rsid w:val="00F74DA2"/>
    <w:rsid w:val="00F75008"/>
    <w:rsid w:val="00F75DD3"/>
    <w:rsid w:val="00F76F72"/>
    <w:rsid w:val="00F84578"/>
    <w:rsid w:val="00F90ED7"/>
    <w:rsid w:val="00F91F9F"/>
    <w:rsid w:val="00F9209D"/>
    <w:rsid w:val="00F9219B"/>
    <w:rsid w:val="00FA29D1"/>
    <w:rsid w:val="00FA3DA3"/>
    <w:rsid w:val="00FA75A5"/>
    <w:rsid w:val="00FC11E2"/>
    <w:rsid w:val="00FC1310"/>
    <w:rsid w:val="00FC40FE"/>
    <w:rsid w:val="00FC44D0"/>
    <w:rsid w:val="00FD13D0"/>
    <w:rsid w:val="00FD2736"/>
    <w:rsid w:val="00FD3FA8"/>
    <w:rsid w:val="00FD72C7"/>
    <w:rsid w:val="00FE182A"/>
    <w:rsid w:val="00FE4B55"/>
    <w:rsid w:val="00FF441D"/>
    <w:rsid w:val="00FF6B19"/>
    <w:rsid w:val="0128EF80"/>
    <w:rsid w:val="01A52287"/>
    <w:rsid w:val="01D16789"/>
    <w:rsid w:val="01F0AB78"/>
    <w:rsid w:val="021B6935"/>
    <w:rsid w:val="02C5ABB2"/>
    <w:rsid w:val="0345E6C8"/>
    <w:rsid w:val="036274EF"/>
    <w:rsid w:val="03D5FDA5"/>
    <w:rsid w:val="05843A1F"/>
    <w:rsid w:val="0591F628"/>
    <w:rsid w:val="05B6748D"/>
    <w:rsid w:val="060209BA"/>
    <w:rsid w:val="064525A9"/>
    <w:rsid w:val="068D3381"/>
    <w:rsid w:val="068DF6CA"/>
    <w:rsid w:val="06DDC585"/>
    <w:rsid w:val="07E57F02"/>
    <w:rsid w:val="0846CD44"/>
    <w:rsid w:val="093DA396"/>
    <w:rsid w:val="09B59DBE"/>
    <w:rsid w:val="09D82921"/>
    <w:rsid w:val="0A772716"/>
    <w:rsid w:val="0ACC3191"/>
    <w:rsid w:val="0B4B016C"/>
    <w:rsid w:val="0B7B841F"/>
    <w:rsid w:val="0BC48E62"/>
    <w:rsid w:val="0C5DDF76"/>
    <w:rsid w:val="0CA00E57"/>
    <w:rsid w:val="0CA12DC3"/>
    <w:rsid w:val="0CE791E2"/>
    <w:rsid w:val="0DAB8195"/>
    <w:rsid w:val="0F5F0768"/>
    <w:rsid w:val="0FB1045F"/>
    <w:rsid w:val="10A3349D"/>
    <w:rsid w:val="10D1D6AB"/>
    <w:rsid w:val="10F2396B"/>
    <w:rsid w:val="111606FB"/>
    <w:rsid w:val="1161F853"/>
    <w:rsid w:val="11D36D1B"/>
    <w:rsid w:val="11EEC4B7"/>
    <w:rsid w:val="124F85A6"/>
    <w:rsid w:val="135DF14E"/>
    <w:rsid w:val="138B5965"/>
    <w:rsid w:val="1390716D"/>
    <w:rsid w:val="13F7E43D"/>
    <w:rsid w:val="145A4EB5"/>
    <w:rsid w:val="14AFAA2E"/>
    <w:rsid w:val="14B4887C"/>
    <w:rsid w:val="15559A73"/>
    <w:rsid w:val="1683D60E"/>
    <w:rsid w:val="168D3B8D"/>
    <w:rsid w:val="17B93D9F"/>
    <w:rsid w:val="17FE5702"/>
    <w:rsid w:val="1896AB6A"/>
    <w:rsid w:val="189DC084"/>
    <w:rsid w:val="18E92380"/>
    <w:rsid w:val="19057838"/>
    <w:rsid w:val="1905F609"/>
    <w:rsid w:val="190BA9FB"/>
    <w:rsid w:val="1979C069"/>
    <w:rsid w:val="1A7531B6"/>
    <w:rsid w:val="1BFFFCC4"/>
    <w:rsid w:val="1DCCA992"/>
    <w:rsid w:val="1DEF3299"/>
    <w:rsid w:val="1F146F79"/>
    <w:rsid w:val="1F20E3EE"/>
    <w:rsid w:val="1FE46413"/>
    <w:rsid w:val="1FF59A7D"/>
    <w:rsid w:val="20253038"/>
    <w:rsid w:val="20410CB5"/>
    <w:rsid w:val="2094D13A"/>
    <w:rsid w:val="209FE46E"/>
    <w:rsid w:val="2116FA02"/>
    <w:rsid w:val="212A6999"/>
    <w:rsid w:val="2160BDA3"/>
    <w:rsid w:val="217D44B7"/>
    <w:rsid w:val="21D2045D"/>
    <w:rsid w:val="2252B60B"/>
    <w:rsid w:val="22A5BB2F"/>
    <w:rsid w:val="22F55C0C"/>
    <w:rsid w:val="235BBDAD"/>
    <w:rsid w:val="244755F1"/>
    <w:rsid w:val="24F58A5B"/>
    <w:rsid w:val="262F432A"/>
    <w:rsid w:val="269549D7"/>
    <w:rsid w:val="275E17FB"/>
    <w:rsid w:val="276D7D38"/>
    <w:rsid w:val="284B71A5"/>
    <w:rsid w:val="28594796"/>
    <w:rsid w:val="29666EC8"/>
    <w:rsid w:val="299F2BDD"/>
    <w:rsid w:val="29CB26EB"/>
    <w:rsid w:val="2A934901"/>
    <w:rsid w:val="2ABEB6AC"/>
    <w:rsid w:val="2AC22208"/>
    <w:rsid w:val="2AC8721C"/>
    <w:rsid w:val="2AF155D8"/>
    <w:rsid w:val="2BA3C3A4"/>
    <w:rsid w:val="2BC17454"/>
    <w:rsid w:val="2C1ABDDE"/>
    <w:rsid w:val="2CF74020"/>
    <w:rsid w:val="2D7E388A"/>
    <w:rsid w:val="2D89CAF6"/>
    <w:rsid w:val="2D957422"/>
    <w:rsid w:val="2E3D5C5B"/>
    <w:rsid w:val="2E47C768"/>
    <w:rsid w:val="2F42A013"/>
    <w:rsid w:val="2F7F56CB"/>
    <w:rsid w:val="304AF8AC"/>
    <w:rsid w:val="30B36E66"/>
    <w:rsid w:val="30FAAB33"/>
    <w:rsid w:val="31656A05"/>
    <w:rsid w:val="31C2CB3A"/>
    <w:rsid w:val="320DBF18"/>
    <w:rsid w:val="32B753D4"/>
    <w:rsid w:val="32E83A20"/>
    <w:rsid w:val="33C17DB9"/>
    <w:rsid w:val="3417C89C"/>
    <w:rsid w:val="348CE232"/>
    <w:rsid w:val="34968855"/>
    <w:rsid w:val="34C5063B"/>
    <w:rsid w:val="3552CB8C"/>
    <w:rsid w:val="355DEECF"/>
    <w:rsid w:val="3595F4BA"/>
    <w:rsid w:val="35D0C1C5"/>
    <w:rsid w:val="364D4E94"/>
    <w:rsid w:val="36576085"/>
    <w:rsid w:val="36F045DC"/>
    <w:rsid w:val="36FF480B"/>
    <w:rsid w:val="3742B3BF"/>
    <w:rsid w:val="375CEB09"/>
    <w:rsid w:val="37E3653C"/>
    <w:rsid w:val="38375EDD"/>
    <w:rsid w:val="387646FD"/>
    <w:rsid w:val="38B1D949"/>
    <w:rsid w:val="3955AE0E"/>
    <w:rsid w:val="39956F38"/>
    <w:rsid w:val="39DE2D37"/>
    <w:rsid w:val="39E495A5"/>
    <w:rsid w:val="3B944049"/>
    <w:rsid w:val="3BBB47DC"/>
    <w:rsid w:val="3BE1835B"/>
    <w:rsid w:val="3BF5FAAB"/>
    <w:rsid w:val="3C34D722"/>
    <w:rsid w:val="3C69AC71"/>
    <w:rsid w:val="3CFDF4EF"/>
    <w:rsid w:val="3D15B8D9"/>
    <w:rsid w:val="3D8FE7FA"/>
    <w:rsid w:val="3DB91227"/>
    <w:rsid w:val="3E29F40E"/>
    <w:rsid w:val="3E5A99AE"/>
    <w:rsid w:val="3EDFFA7A"/>
    <w:rsid w:val="3F3388C8"/>
    <w:rsid w:val="3F94D3D4"/>
    <w:rsid w:val="40197149"/>
    <w:rsid w:val="407C29B4"/>
    <w:rsid w:val="40A613BD"/>
    <w:rsid w:val="4192D5C1"/>
    <w:rsid w:val="41FC60C6"/>
    <w:rsid w:val="4237F1E2"/>
    <w:rsid w:val="42A277F6"/>
    <w:rsid w:val="43053313"/>
    <w:rsid w:val="43446995"/>
    <w:rsid w:val="43A70331"/>
    <w:rsid w:val="444627BD"/>
    <w:rsid w:val="45DF0494"/>
    <w:rsid w:val="46392DE1"/>
    <w:rsid w:val="4658A375"/>
    <w:rsid w:val="46A5284F"/>
    <w:rsid w:val="476D8D5D"/>
    <w:rsid w:val="477F6E52"/>
    <w:rsid w:val="478C45F8"/>
    <w:rsid w:val="48CE45A0"/>
    <w:rsid w:val="49630BA6"/>
    <w:rsid w:val="49EDB98E"/>
    <w:rsid w:val="4A874102"/>
    <w:rsid w:val="4B08358B"/>
    <w:rsid w:val="4B6463A8"/>
    <w:rsid w:val="4BC567D0"/>
    <w:rsid w:val="4C032A3E"/>
    <w:rsid w:val="4C2371D1"/>
    <w:rsid w:val="4C95F48D"/>
    <w:rsid w:val="4CE195F3"/>
    <w:rsid w:val="4CF26DEE"/>
    <w:rsid w:val="4D44BAC1"/>
    <w:rsid w:val="4D58D6C2"/>
    <w:rsid w:val="4D695ECE"/>
    <w:rsid w:val="4DA8E036"/>
    <w:rsid w:val="4DDCFB68"/>
    <w:rsid w:val="4E9B408B"/>
    <w:rsid w:val="4ECE597C"/>
    <w:rsid w:val="4F0B1D26"/>
    <w:rsid w:val="4F446EAB"/>
    <w:rsid w:val="4FFA7290"/>
    <w:rsid w:val="507F3F31"/>
    <w:rsid w:val="51B9F857"/>
    <w:rsid w:val="51D3990A"/>
    <w:rsid w:val="529D3772"/>
    <w:rsid w:val="53A34139"/>
    <w:rsid w:val="53B4DAB1"/>
    <w:rsid w:val="53CC9CEC"/>
    <w:rsid w:val="540052BB"/>
    <w:rsid w:val="5425A126"/>
    <w:rsid w:val="5479174C"/>
    <w:rsid w:val="5496F2B4"/>
    <w:rsid w:val="54A0F7BA"/>
    <w:rsid w:val="551FCF7B"/>
    <w:rsid w:val="554B5780"/>
    <w:rsid w:val="5634802E"/>
    <w:rsid w:val="57EA3908"/>
    <w:rsid w:val="57FA1DC4"/>
    <w:rsid w:val="581358CA"/>
    <w:rsid w:val="58169275"/>
    <w:rsid w:val="592AAAF6"/>
    <w:rsid w:val="5935F1DD"/>
    <w:rsid w:val="597659FF"/>
    <w:rsid w:val="59A7E596"/>
    <w:rsid w:val="5ABE0703"/>
    <w:rsid w:val="5B0560F4"/>
    <w:rsid w:val="5BE7DFCA"/>
    <w:rsid w:val="5C4A7E2D"/>
    <w:rsid w:val="5C68690A"/>
    <w:rsid w:val="5C7437CD"/>
    <w:rsid w:val="5CC3E989"/>
    <w:rsid w:val="5D167E3B"/>
    <w:rsid w:val="5D6BC034"/>
    <w:rsid w:val="5D7BC5DC"/>
    <w:rsid w:val="5D93A11A"/>
    <w:rsid w:val="5E1E738D"/>
    <w:rsid w:val="5E210ABD"/>
    <w:rsid w:val="5E2969DB"/>
    <w:rsid w:val="5E76F967"/>
    <w:rsid w:val="5E9DDD7A"/>
    <w:rsid w:val="5ECBF234"/>
    <w:rsid w:val="5EFB7B25"/>
    <w:rsid w:val="5F25CB6A"/>
    <w:rsid w:val="5F2851F4"/>
    <w:rsid w:val="5F52AD23"/>
    <w:rsid w:val="604FACE2"/>
    <w:rsid w:val="605E7B65"/>
    <w:rsid w:val="60759CE0"/>
    <w:rsid w:val="60C92FCF"/>
    <w:rsid w:val="612FFF1D"/>
    <w:rsid w:val="615DD795"/>
    <w:rsid w:val="617D03A1"/>
    <w:rsid w:val="61A5CAFA"/>
    <w:rsid w:val="625410C2"/>
    <w:rsid w:val="636DFAAA"/>
    <w:rsid w:val="656FF36C"/>
    <w:rsid w:val="67CC266F"/>
    <w:rsid w:val="6862B32A"/>
    <w:rsid w:val="696DA0A9"/>
    <w:rsid w:val="6979DA32"/>
    <w:rsid w:val="6A5FC69C"/>
    <w:rsid w:val="6AEA1741"/>
    <w:rsid w:val="6B19C335"/>
    <w:rsid w:val="6B810EDC"/>
    <w:rsid w:val="6BDA9E4B"/>
    <w:rsid w:val="6C06C451"/>
    <w:rsid w:val="6C7B1C5D"/>
    <w:rsid w:val="6CB15537"/>
    <w:rsid w:val="6D09A924"/>
    <w:rsid w:val="6D534CC1"/>
    <w:rsid w:val="6D6373AD"/>
    <w:rsid w:val="6D6C8611"/>
    <w:rsid w:val="6E1EB05F"/>
    <w:rsid w:val="6E68FC78"/>
    <w:rsid w:val="6F0FF394"/>
    <w:rsid w:val="6F4F3BC0"/>
    <w:rsid w:val="706BF1A5"/>
    <w:rsid w:val="70760C9B"/>
    <w:rsid w:val="70E54423"/>
    <w:rsid w:val="70E9A4B3"/>
    <w:rsid w:val="731B55D4"/>
    <w:rsid w:val="7342382D"/>
    <w:rsid w:val="73B9734A"/>
    <w:rsid w:val="73D9D9D9"/>
    <w:rsid w:val="74287B73"/>
    <w:rsid w:val="742B5F34"/>
    <w:rsid w:val="7438E6D6"/>
    <w:rsid w:val="7451595A"/>
    <w:rsid w:val="7654415C"/>
    <w:rsid w:val="7666C352"/>
    <w:rsid w:val="76C534CC"/>
    <w:rsid w:val="76FBAEC2"/>
    <w:rsid w:val="7729091E"/>
    <w:rsid w:val="77D7DFE4"/>
    <w:rsid w:val="783AA3C2"/>
    <w:rsid w:val="789B9563"/>
    <w:rsid w:val="7938B2A8"/>
    <w:rsid w:val="7959930B"/>
    <w:rsid w:val="79611D13"/>
    <w:rsid w:val="7979F460"/>
    <w:rsid w:val="79F6EE5B"/>
    <w:rsid w:val="7B38FBAC"/>
    <w:rsid w:val="7B90FD34"/>
    <w:rsid w:val="7B99DCAD"/>
    <w:rsid w:val="7BBB4C22"/>
    <w:rsid w:val="7BEF7327"/>
    <w:rsid w:val="7CDD6787"/>
    <w:rsid w:val="7D2ACAD4"/>
    <w:rsid w:val="7D539D00"/>
    <w:rsid w:val="7D9AB8A9"/>
    <w:rsid w:val="7DC92D18"/>
    <w:rsid w:val="7E90EC61"/>
    <w:rsid w:val="7F0A1DBC"/>
    <w:rsid w:val="7F0C42A7"/>
    <w:rsid w:val="7FA25659"/>
    <w:rsid w:val="7FBFD7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8614"/>
  <w15:chartTrackingRefBased/>
  <w15:docId w15:val="{F0DAC09C-27FF-43E6-923F-78B60972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D0"/>
    <w:rPr>
      <w:rFonts w:eastAsiaTheme="majorEastAsia" w:cstheme="majorBidi"/>
      <w:color w:val="272727" w:themeColor="text1" w:themeTint="D8"/>
    </w:rPr>
  </w:style>
  <w:style w:type="paragraph" w:styleId="Title">
    <w:name w:val="Title"/>
    <w:basedOn w:val="Normal"/>
    <w:next w:val="Normal"/>
    <w:link w:val="TitleChar"/>
    <w:uiPriority w:val="10"/>
    <w:qFormat/>
    <w:rsid w:val="00FC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D0"/>
    <w:pPr>
      <w:spacing w:before="160"/>
      <w:jc w:val="center"/>
    </w:pPr>
    <w:rPr>
      <w:i/>
      <w:iCs/>
      <w:color w:val="404040" w:themeColor="text1" w:themeTint="BF"/>
    </w:rPr>
  </w:style>
  <w:style w:type="character" w:customStyle="1" w:styleId="QuoteChar">
    <w:name w:val="Quote Char"/>
    <w:basedOn w:val="DefaultParagraphFont"/>
    <w:link w:val="Quote"/>
    <w:uiPriority w:val="29"/>
    <w:rsid w:val="00FC44D0"/>
    <w:rPr>
      <w:i/>
      <w:iCs/>
      <w:color w:val="404040" w:themeColor="text1" w:themeTint="BF"/>
    </w:rPr>
  </w:style>
  <w:style w:type="paragraph" w:styleId="ListParagraph">
    <w:name w:val="List Paragraph"/>
    <w:basedOn w:val="Normal"/>
    <w:uiPriority w:val="34"/>
    <w:qFormat/>
    <w:rsid w:val="00FC44D0"/>
    <w:pPr>
      <w:ind w:left="720"/>
      <w:contextualSpacing/>
    </w:pPr>
  </w:style>
  <w:style w:type="character" w:styleId="IntenseEmphasis">
    <w:name w:val="Intense Emphasis"/>
    <w:basedOn w:val="DefaultParagraphFont"/>
    <w:uiPriority w:val="21"/>
    <w:qFormat/>
    <w:rsid w:val="00FC44D0"/>
    <w:rPr>
      <w:i/>
      <w:iCs/>
      <w:color w:val="0F4761" w:themeColor="accent1" w:themeShade="BF"/>
    </w:rPr>
  </w:style>
  <w:style w:type="paragraph" w:styleId="IntenseQuote">
    <w:name w:val="Intense Quote"/>
    <w:basedOn w:val="Normal"/>
    <w:next w:val="Normal"/>
    <w:link w:val="IntenseQuoteChar"/>
    <w:uiPriority w:val="30"/>
    <w:qFormat/>
    <w:rsid w:val="00FC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D0"/>
    <w:rPr>
      <w:i/>
      <w:iCs/>
      <w:color w:val="0F4761" w:themeColor="accent1" w:themeShade="BF"/>
    </w:rPr>
  </w:style>
  <w:style w:type="character" w:styleId="IntenseReference">
    <w:name w:val="Intense Reference"/>
    <w:basedOn w:val="DefaultParagraphFont"/>
    <w:uiPriority w:val="32"/>
    <w:qFormat/>
    <w:rsid w:val="00FC44D0"/>
    <w:rPr>
      <w:b/>
      <w:bCs/>
      <w:smallCaps/>
      <w:color w:val="0F4761" w:themeColor="accent1" w:themeShade="BF"/>
      <w:spacing w:val="5"/>
    </w:rPr>
  </w:style>
  <w:style w:type="character" w:styleId="CommentReference">
    <w:name w:val="annotation reference"/>
    <w:basedOn w:val="DefaultParagraphFont"/>
    <w:uiPriority w:val="99"/>
    <w:semiHidden/>
    <w:unhideWhenUsed/>
    <w:rsid w:val="00C8165B"/>
    <w:rPr>
      <w:sz w:val="16"/>
      <w:szCs w:val="16"/>
    </w:rPr>
  </w:style>
  <w:style w:type="paragraph" w:styleId="CommentText">
    <w:name w:val="annotation text"/>
    <w:basedOn w:val="Normal"/>
    <w:link w:val="CommentTextChar"/>
    <w:uiPriority w:val="99"/>
    <w:unhideWhenUsed/>
    <w:rsid w:val="00C8165B"/>
    <w:pPr>
      <w:spacing w:line="240" w:lineRule="auto"/>
    </w:pPr>
    <w:rPr>
      <w:sz w:val="20"/>
      <w:szCs w:val="20"/>
    </w:rPr>
  </w:style>
  <w:style w:type="character" w:customStyle="1" w:styleId="CommentTextChar">
    <w:name w:val="Comment Text Char"/>
    <w:basedOn w:val="DefaultParagraphFont"/>
    <w:link w:val="CommentText"/>
    <w:uiPriority w:val="99"/>
    <w:rsid w:val="00C8165B"/>
    <w:rPr>
      <w:sz w:val="20"/>
      <w:szCs w:val="20"/>
    </w:rPr>
  </w:style>
  <w:style w:type="paragraph" w:styleId="CommentSubject">
    <w:name w:val="annotation subject"/>
    <w:basedOn w:val="CommentText"/>
    <w:next w:val="CommentText"/>
    <w:link w:val="CommentSubjectChar"/>
    <w:uiPriority w:val="99"/>
    <w:semiHidden/>
    <w:unhideWhenUsed/>
    <w:rsid w:val="00C8165B"/>
    <w:rPr>
      <w:b/>
      <w:bCs/>
    </w:rPr>
  </w:style>
  <w:style w:type="character" w:customStyle="1" w:styleId="CommentSubjectChar">
    <w:name w:val="Comment Subject Char"/>
    <w:basedOn w:val="CommentTextChar"/>
    <w:link w:val="CommentSubject"/>
    <w:uiPriority w:val="99"/>
    <w:semiHidden/>
    <w:rsid w:val="00C8165B"/>
    <w:rPr>
      <w:b/>
      <w:bCs/>
      <w:sz w:val="20"/>
      <w:szCs w:val="20"/>
    </w:rPr>
  </w:style>
  <w:style w:type="character" w:styleId="Mention">
    <w:name w:val="Mention"/>
    <w:basedOn w:val="DefaultParagraphFont"/>
    <w:uiPriority w:val="99"/>
    <w:unhideWhenUsed/>
    <w:rsid w:val="006657CA"/>
    <w:rPr>
      <w:color w:val="2B579A"/>
      <w:shd w:val="clear" w:color="auto" w:fill="E1DFDD"/>
    </w:rPr>
  </w:style>
  <w:style w:type="paragraph" w:styleId="Revision">
    <w:name w:val="Revision"/>
    <w:hidden/>
    <w:uiPriority w:val="99"/>
    <w:semiHidden/>
    <w:rsid w:val="00D43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Richard Pidgeon</cp:lastModifiedBy>
  <cp:revision>66</cp:revision>
  <dcterms:created xsi:type="dcterms:W3CDTF">2024-10-31T18:27:00Z</dcterms:created>
  <dcterms:modified xsi:type="dcterms:W3CDTF">2024-11-06T10:19:00Z</dcterms:modified>
</cp:coreProperties>
</file>