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5D1B0" w14:textId="082AEFF5" w:rsidR="00570E9A" w:rsidRDefault="00974BAC" w:rsidP="00974BAC">
      <w:pPr>
        <w:pStyle w:val="BodyText"/>
        <w:jc w:val="right"/>
        <w:rPr>
          <w:b/>
          <w:sz w:val="20"/>
        </w:rPr>
      </w:pPr>
      <w:bookmarkStart w:id="0" w:name="_Toc81555083"/>
      <w:r>
        <w:rPr>
          <w:noProof/>
        </w:rPr>
        <w:drawing>
          <wp:inline distT="0" distB="0" distL="0" distR="0" wp14:anchorId="724430BD" wp14:editId="3D0EBF57">
            <wp:extent cx="1967865" cy="762635"/>
            <wp:effectExtent l="0" t="0" r="0" b="0"/>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QA-21054 Shell A4 Ppaer_JC"/>
                    <pic:cNvPicPr>
                      <a:picLocks noChangeAspect="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7865" cy="762635"/>
                    </a:xfrm>
                    <a:prstGeom prst="rect">
                      <a:avLst/>
                    </a:prstGeom>
                    <a:noFill/>
                    <a:ln>
                      <a:noFill/>
                    </a:ln>
                    <a:extLst>
                      <a:ext uri="{53640926-AAD7-44D8-BBD7-CCE9431645EC}">
                        <a14:shadowObscured xmlns:a14="http://schemas.microsoft.com/office/drawing/2010/main"/>
                      </a:ext>
                    </a:extLst>
                  </pic:spPr>
                </pic:pic>
              </a:graphicData>
            </a:graphic>
          </wp:inline>
        </w:drawing>
      </w:r>
    </w:p>
    <w:p w14:paraId="1D9A3688" w14:textId="77777777" w:rsidR="00570E9A" w:rsidRDefault="00570E9A" w:rsidP="00570E9A">
      <w:pPr>
        <w:pStyle w:val="BodyText"/>
        <w:rPr>
          <w:b/>
          <w:sz w:val="20"/>
        </w:rPr>
      </w:pPr>
    </w:p>
    <w:p w14:paraId="402ACEC1" w14:textId="77777777" w:rsidR="00570E9A" w:rsidRDefault="00570E9A" w:rsidP="00570E9A">
      <w:pPr>
        <w:pStyle w:val="BodyText"/>
        <w:rPr>
          <w:b/>
          <w:sz w:val="20"/>
        </w:rPr>
      </w:pPr>
    </w:p>
    <w:p w14:paraId="454AA9AA" w14:textId="77777777" w:rsidR="00570E9A" w:rsidRDefault="00570E9A" w:rsidP="00570E9A">
      <w:pPr>
        <w:pStyle w:val="BodyText"/>
        <w:rPr>
          <w:b/>
          <w:sz w:val="20"/>
        </w:rPr>
      </w:pPr>
    </w:p>
    <w:p w14:paraId="5C5BB9A5" w14:textId="77777777" w:rsidR="00570E9A" w:rsidRDefault="00570E9A" w:rsidP="00570E9A">
      <w:pPr>
        <w:pStyle w:val="BodyText"/>
        <w:rPr>
          <w:b/>
          <w:sz w:val="20"/>
        </w:rPr>
      </w:pPr>
    </w:p>
    <w:p w14:paraId="45EDD571" w14:textId="77777777" w:rsidR="00570E9A" w:rsidRDefault="00570E9A" w:rsidP="00570E9A">
      <w:pPr>
        <w:pStyle w:val="BodyText"/>
        <w:rPr>
          <w:b/>
          <w:sz w:val="20"/>
        </w:rPr>
      </w:pPr>
    </w:p>
    <w:p w14:paraId="50223C79" w14:textId="77777777" w:rsidR="00570E9A" w:rsidRDefault="00570E9A" w:rsidP="00570E9A">
      <w:pPr>
        <w:pStyle w:val="BodyText"/>
        <w:rPr>
          <w:b/>
          <w:sz w:val="20"/>
        </w:rPr>
      </w:pPr>
    </w:p>
    <w:p w14:paraId="4C76C16D" w14:textId="77777777" w:rsidR="00570E9A" w:rsidRDefault="00570E9A" w:rsidP="00570E9A">
      <w:pPr>
        <w:pStyle w:val="BodyText"/>
        <w:rPr>
          <w:b/>
          <w:sz w:val="20"/>
        </w:rPr>
      </w:pPr>
    </w:p>
    <w:p w14:paraId="02E759C7" w14:textId="77777777" w:rsidR="00570E9A" w:rsidRDefault="00570E9A" w:rsidP="00570E9A">
      <w:pPr>
        <w:pStyle w:val="BodyText"/>
        <w:rPr>
          <w:b/>
          <w:sz w:val="20"/>
        </w:rPr>
      </w:pPr>
    </w:p>
    <w:p w14:paraId="006BDF58" w14:textId="77777777" w:rsidR="00570E9A" w:rsidRDefault="00570E9A" w:rsidP="00570E9A">
      <w:pPr>
        <w:pStyle w:val="BodyText"/>
        <w:rPr>
          <w:b/>
          <w:sz w:val="20"/>
        </w:rPr>
      </w:pPr>
    </w:p>
    <w:p w14:paraId="4563E15A" w14:textId="77777777" w:rsidR="00570E9A" w:rsidRDefault="00570E9A" w:rsidP="00570E9A">
      <w:pPr>
        <w:pStyle w:val="BodyText"/>
        <w:rPr>
          <w:b/>
          <w:sz w:val="20"/>
        </w:rPr>
      </w:pPr>
    </w:p>
    <w:p w14:paraId="23C914E1" w14:textId="77777777" w:rsidR="00570E9A" w:rsidRDefault="00570E9A" w:rsidP="00570E9A">
      <w:pPr>
        <w:pStyle w:val="BodyText"/>
        <w:rPr>
          <w:b/>
          <w:sz w:val="20"/>
        </w:rPr>
      </w:pPr>
    </w:p>
    <w:p w14:paraId="7432C4A4" w14:textId="77777777" w:rsidR="00570E9A" w:rsidRDefault="00570E9A" w:rsidP="00570E9A">
      <w:pPr>
        <w:pStyle w:val="BodyText"/>
        <w:rPr>
          <w:b/>
          <w:sz w:val="20"/>
        </w:rPr>
      </w:pPr>
    </w:p>
    <w:p w14:paraId="5AAEBDAA" w14:textId="77777777" w:rsidR="00570E9A" w:rsidRDefault="00570E9A" w:rsidP="00570E9A">
      <w:pPr>
        <w:pStyle w:val="BodyText"/>
        <w:rPr>
          <w:b/>
          <w:sz w:val="20"/>
        </w:rPr>
      </w:pPr>
    </w:p>
    <w:p w14:paraId="7CAF06C9" w14:textId="77777777" w:rsidR="00570E9A" w:rsidRDefault="00570E9A" w:rsidP="00570E9A">
      <w:pPr>
        <w:pStyle w:val="BodyText"/>
        <w:rPr>
          <w:b/>
          <w:sz w:val="20"/>
        </w:rPr>
      </w:pPr>
    </w:p>
    <w:p w14:paraId="61A439AA" w14:textId="77777777" w:rsidR="00570E9A" w:rsidRDefault="00570E9A" w:rsidP="00570E9A">
      <w:pPr>
        <w:pStyle w:val="BodyText"/>
        <w:rPr>
          <w:b/>
          <w:sz w:val="20"/>
        </w:rPr>
      </w:pPr>
    </w:p>
    <w:p w14:paraId="74451748" w14:textId="77777777" w:rsidR="00570E9A" w:rsidRDefault="00570E9A" w:rsidP="00570E9A">
      <w:pPr>
        <w:pStyle w:val="BodyText"/>
        <w:rPr>
          <w:b/>
          <w:sz w:val="20"/>
        </w:rPr>
      </w:pPr>
    </w:p>
    <w:p w14:paraId="199B0DE9" w14:textId="77777777" w:rsidR="00570E9A" w:rsidRDefault="00570E9A" w:rsidP="00570E9A">
      <w:pPr>
        <w:pStyle w:val="BodyText"/>
        <w:rPr>
          <w:b/>
          <w:sz w:val="20"/>
        </w:rPr>
      </w:pPr>
    </w:p>
    <w:p w14:paraId="6C7154B8" w14:textId="3EC987F6" w:rsidR="00570E9A" w:rsidRDefault="00AA6AA4" w:rsidP="00AA6AA4">
      <w:pPr>
        <w:pStyle w:val="BodyText"/>
        <w:jc w:val="center"/>
        <w:rPr>
          <w:b/>
          <w:sz w:val="32"/>
        </w:rPr>
      </w:pPr>
      <w:r>
        <w:rPr>
          <w:b/>
          <w:sz w:val="32"/>
        </w:rPr>
        <w:t>Assessment Strategy</w:t>
      </w:r>
    </w:p>
    <w:p w14:paraId="5471B11F" w14:textId="28A4DA6A" w:rsidR="00AA6AA4" w:rsidRDefault="00AA6AA4" w:rsidP="00AA6AA4">
      <w:pPr>
        <w:pStyle w:val="BodyText"/>
        <w:jc w:val="center"/>
        <w:rPr>
          <w:b/>
          <w:sz w:val="32"/>
        </w:rPr>
      </w:pPr>
    </w:p>
    <w:tbl>
      <w:tblPr>
        <w:tblStyle w:val="TableGrid"/>
        <w:tblW w:w="0" w:type="auto"/>
        <w:tblLook w:val="04A0" w:firstRow="1" w:lastRow="0" w:firstColumn="1" w:lastColumn="0" w:noHBand="0" w:noVBand="1"/>
      </w:tblPr>
      <w:tblGrid>
        <w:gridCol w:w="4540"/>
        <w:gridCol w:w="4476"/>
      </w:tblGrid>
      <w:tr w:rsidR="00AA6AA4" w:rsidRPr="00F77C66" w14:paraId="5BCACC13" w14:textId="77777777" w:rsidTr="00B77BDA">
        <w:tc>
          <w:tcPr>
            <w:tcW w:w="4540" w:type="dxa"/>
          </w:tcPr>
          <w:p w14:paraId="79D70067" w14:textId="77777777" w:rsidR="00AA6AA4" w:rsidRDefault="00AA6AA4" w:rsidP="00B77BDA">
            <w:pPr>
              <w:rPr>
                <w:rFonts w:eastAsiaTheme="majorEastAsia"/>
                <w:b/>
                <w:sz w:val="32"/>
                <w:lang w:eastAsia="en-US"/>
              </w:rPr>
            </w:pPr>
            <w:r w:rsidRPr="00F77C66">
              <w:rPr>
                <w:rFonts w:eastAsiaTheme="majorEastAsia"/>
                <w:b/>
                <w:sz w:val="32"/>
                <w:lang w:eastAsia="en-US"/>
              </w:rPr>
              <w:t>Qualification Title(s)</w:t>
            </w:r>
          </w:p>
          <w:p w14:paraId="48375ED6" w14:textId="77777777" w:rsidR="00AA6AA4" w:rsidRPr="00F77C66" w:rsidRDefault="00AA6AA4" w:rsidP="00B77BDA">
            <w:pPr>
              <w:rPr>
                <w:rFonts w:eastAsiaTheme="majorEastAsia"/>
                <w:b/>
                <w:sz w:val="32"/>
                <w:lang w:eastAsia="en-US"/>
              </w:rPr>
            </w:pPr>
          </w:p>
        </w:tc>
        <w:tc>
          <w:tcPr>
            <w:tcW w:w="4476" w:type="dxa"/>
          </w:tcPr>
          <w:p w14:paraId="0F3E157B" w14:textId="652862FE" w:rsidR="00AA6AA4" w:rsidRPr="00F77C66" w:rsidRDefault="004967CC" w:rsidP="00B77BDA">
            <w:r w:rsidRPr="004967CC">
              <w:t>SVQ in Processing Operations: Hydrocarbons (Control Room) at SCQF Level 7</w:t>
            </w:r>
          </w:p>
        </w:tc>
      </w:tr>
      <w:tr w:rsidR="00AA6AA4" w:rsidRPr="00F77C66" w14:paraId="0BC73F16" w14:textId="77777777" w:rsidTr="00B77BDA">
        <w:tc>
          <w:tcPr>
            <w:tcW w:w="4540" w:type="dxa"/>
          </w:tcPr>
          <w:p w14:paraId="0E03DE2E" w14:textId="77777777" w:rsidR="00AA6AA4" w:rsidRDefault="00AA6AA4" w:rsidP="00B77BDA">
            <w:pPr>
              <w:rPr>
                <w:rFonts w:eastAsiaTheme="majorEastAsia"/>
                <w:b/>
                <w:sz w:val="32"/>
                <w:lang w:eastAsia="en-US"/>
              </w:rPr>
            </w:pPr>
            <w:r w:rsidRPr="00F77C66">
              <w:rPr>
                <w:rFonts w:eastAsiaTheme="majorEastAsia"/>
                <w:b/>
                <w:sz w:val="32"/>
                <w:lang w:eastAsia="en-US"/>
              </w:rPr>
              <w:t>Developed by</w:t>
            </w:r>
          </w:p>
          <w:p w14:paraId="456F460E" w14:textId="77777777" w:rsidR="00AA6AA4" w:rsidRPr="00F77C66" w:rsidRDefault="00AA6AA4" w:rsidP="00B77BDA">
            <w:pPr>
              <w:rPr>
                <w:rFonts w:eastAsiaTheme="majorEastAsia"/>
                <w:b/>
                <w:sz w:val="32"/>
                <w:lang w:eastAsia="en-US"/>
              </w:rPr>
            </w:pPr>
          </w:p>
        </w:tc>
        <w:tc>
          <w:tcPr>
            <w:tcW w:w="4476" w:type="dxa"/>
          </w:tcPr>
          <w:p w14:paraId="58DF5B87" w14:textId="124E4808" w:rsidR="00AA6AA4" w:rsidRPr="00F77C66" w:rsidRDefault="004967CC" w:rsidP="00B77BDA">
            <w:r>
              <w:t>OPITO</w:t>
            </w:r>
          </w:p>
        </w:tc>
      </w:tr>
      <w:tr w:rsidR="00AA6AA4" w:rsidRPr="00F77C66" w14:paraId="60A9EB26" w14:textId="77777777" w:rsidTr="00B77BDA">
        <w:tc>
          <w:tcPr>
            <w:tcW w:w="4540" w:type="dxa"/>
          </w:tcPr>
          <w:p w14:paraId="75CBD7D3" w14:textId="77777777" w:rsidR="00AA6AA4" w:rsidRDefault="00AA6AA4" w:rsidP="00B77BDA">
            <w:pPr>
              <w:rPr>
                <w:rFonts w:eastAsiaTheme="majorEastAsia"/>
                <w:b/>
                <w:sz w:val="32"/>
                <w:lang w:eastAsia="en-US"/>
              </w:rPr>
            </w:pPr>
            <w:r w:rsidRPr="00F77C66">
              <w:rPr>
                <w:rFonts w:eastAsiaTheme="majorEastAsia"/>
                <w:b/>
                <w:sz w:val="32"/>
                <w:lang w:eastAsia="en-US"/>
              </w:rPr>
              <w:t>Approved by ACG</w:t>
            </w:r>
          </w:p>
          <w:p w14:paraId="2823B9A2" w14:textId="77777777" w:rsidR="00AA6AA4" w:rsidRPr="00F77C66" w:rsidRDefault="00AA6AA4" w:rsidP="00B77BDA">
            <w:pPr>
              <w:rPr>
                <w:rFonts w:eastAsiaTheme="majorEastAsia"/>
                <w:b/>
                <w:sz w:val="32"/>
                <w:lang w:eastAsia="en-US"/>
              </w:rPr>
            </w:pPr>
          </w:p>
        </w:tc>
        <w:tc>
          <w:tcPr>
            <w:tcW w:w="4476" w:type="dxa"/>
          </w:tcPr>
          <w:p w14:paraId="7D95389D" w14:textId="1788FDA8" w:rsidR="00AA6AA4" w:rsidRPr="00F77C66" w:rsidRDefault="000D0C34" w:rsidP="00B77BDA">
            <w:r>
              <w:t>12/06/2024</w:t>
            </w:r>
          </w:p>
        </w:tc>
      </w:tr>
      <w:tr w:rsidR="00AA6AA4" w:rsidRPr="00F77C66" w14:paraId="46793E51" w14:textId="77777777" w:rsidTr="00B77BDA">
        <w:trPr>
          <w:trHeight w:val="160"/>
        </w:trPr>
        <w:tc>
          <w:tcPr>
            <w:tcW w:w="4540" w:type="dxa"/>
          </w:tcPr>
          <w:p w14:paraId="71AF046B" w14:textId="77777777" w:rsidR="00AA6AA4" w:rsidRDefault="00AA6AA4" w:rsidP="00B77BDA">
            <w:pPr>
              <w:rPr>
                <w:rFonts w:eastAsiaTheme="majorEastAsia"/>
                <w:b/>
                <w:sz w:val="32"/>
                <w:lang w:eastAsia="en-US"/>
              </w:rPr>
            </w:pPr>
            <w:r w:rsidRPr="00F77C66">
              <w:rPr>
                <w:rFonts w:eastAsiaTheme="majorEastAsia"/>
                <w:b/>
                <w:sz w:val="32"/>
                <w:lang w:eastAsia="en-US"/>
              </w:rPr>
              <w:t xml:space="preserve">Version </w:t>
            </w:r>
          </w:p>
          <w:p w14:paraId="62496120" w14:textId="77777777" w:rsidR="00AA6AA4" w:rsidRPr="00F77C66" w:rsidRDefault="00AA6AA4" w:rsidP="00B77BDA">
            <w:pPr>
              <w:rPr>
                <w:rFonts w:eastAsiaTheme="majorEastAsia"/>
                <w:b/>
                <w:sz w:val="32"/>
                <w:lang w:eastAsia="en-US"/>
              </w:rPr>
            </w:pPr>
          </w:p>
        </w:tc>
        <w:tc>
          <w:tcPr>
            <w:tcW w:w="4476" w:type="dxa"/>
          </w:tcPr>
          <w:p w14:paraId="341FE3F7" w14:textId="602E1AF8" w:rsidR="00AA6AA4" w:rsidRPr="00F77C66" w:rsidRDefault="004967CC" w:rsidP="00B77BDA">
            <w:r>
              <w:t>1</w:t>
            </w:r>
          </w:p>
        </w:tc>
      </w:tr>
    </w:tbl>
    <w:p w14:paraId="575BDA6A" w14:textId="77777777" w:rsidR="00AA6AA4" w:rsidRDefault="00AA6AA4" w:rsidP="00AA6AA4">
      <w:pPr>
        <w:pStyle w:val="BodyText"/>
        <w:jc w:val="center"/>
        <w:rPr>
          <w:b/>
          <w:sz w:val="20"/>
        </w:rPr>
      </w:pPr>
    </w:p>
    <w:p w14:paraId="26BBD022" w14:textId="77777777" w:rsidR="00570E9A" w:rsidRDefault="00570E9A" w:rsidP="00570E9A">
      <w:pPr>
        <w:pStyle w:val="BodyText"/>
        <w:spacing w:before="5"/>
        <w:rPr>
          <w:b/>
          <w:sz w:val="23"/>
        </w:rPr>
      </w:pPr>
    </w:p>
    <w:p w14:paraId="605CCE5E" w14:textId="77777777" w:rsidR="00570E9A" w:rsidRDefault="00570E9A" w:rsidP="00570E9A">
      <w:pPr>
        <w:rPr>
          <w:rFonts w:ascii="Times New Roman"/>
          <w:sz w:val="32"/>
        </w:rPr>
        <w:sectPr w:rsidR="00570E9A" w:rsidSect="00B82845">
          <w:footerReference w:type="default" r:id="rId12"/>
          <w:pgSz w:w="11910" w:h="16840"/>
          <w:pgMar w:top="840" w:right="500" w:bottom="1220" w:left="1680" w:header="0" w:footer="1035" w:gutter="0"/>
          <w:cols w:space="720"/>
        </w:sectPr>
      </w:pPr>
    </w:p>
    <w:p w14:paraId="6365D2B9" w14:textId="77777777" w:rsidR="00570E9A" w:rsidRPr="00632199" w:rsidRDefault="00570E9A" w:rsidP="003A7DA7">
      <w:pPr>
        <w:pStyle w:val="Heading4"/>
        <w:spacing w:before="74"/>
        <w:ind w:left="-567"/>
        <w:rPr>
          <w:rFonts w:ascii="Arial" w:eastAsia="Arial" w:hAnsi="Arial" w:cs="Arial"/>
          <w:b/>
          <w:i w:val="0"/>
          <w:iCs w:val="0"/>
          <w:color w:val="auto"/>
          <w:sz w:val="28"/>
          <w:szCs w:val="28"/>
        </w:rPr>
      </w:pPr>
      <w:r w:rsidRPr="00632199">
        <w:rPr>
          <w:rFonts w:ascii="Arial" w:eastAsia="Arial" w:hAnsi="Arial" w:cs="Arial"/>
          <w:b/>
          <w:i w:val="0"/>
          <w:iCs w:val="0"/>
          <w:color w:val="auto"/>
          <w:sz w:val="28"/>
          <w:szCs w:val="28"/>
        </w:rPr>
        <w:lastRenderedPageBreak/>
        <w:t>Introduction:</w:t>
      </w:r>
    </w:p>
    <w:p w14:paraId="002A497C" w14:textId="77777777" w:rsidR="002D6F6C" w:rsidRPr="006A17AD" w:rsidRDefault="002D6F6C" w:rsidP="003A7DA7">
      <w:pPr>
        <w:ind w:left="-567"/>
      </w:pPr>
    </w:p>
    <w:p w14:paraId="10D4C2B7" w14:textId="7ABDE39C" w:rsidR="00DA5A4A" w:rsidRPr="00632199" w:rsidRDefault="00DA5A4A" w:rsidP="003A7DA7">
      <w:pPr>
        <w:ind w:left="-567"/>
        <w:jc w:val="both"/>
      </w:pPr>
      <w:r w:rsidRPr="00632199">
        <w:t xml:space="preserve">This Assessment and Verification Strategy sets out OPITO’s requirements and recommendations for the assessment, verification and external quality control of </w:t>
      </w:r>
      <w:r w:rsidR="008261FB" w:rsidRPr="008261FB">
        <w:t xml:space="preserve">SVQs for the Upstream </w:t>
      </w:r>
      <w:r w:rsidR="008261FB">
        <w:t>Energy</w:t>
      </w:r>
      <w:r w:rsidR="008261FB" w:rsidRPr="008261FB">
        <w:t xml:space="preserve"> Industry.</w:t>
      </w:r>
    </w:p>
    <w:p w14:paraId="51AF30D2" w14:textId="77777777" w:rsidR="00DA5A4A" w:rsidRPr="00632199" w:rsidRDefault="00DA5A4A" w:rsidP="00694A6F">
      <w:pPr>
        <w:adjustRightInd w:val="0"/>
        <w:jc w:val="both"/>
      </w:pPr>
    </w:p>
    <w:p w14:paraId="62A6F60B" w14:textId="48F0D05D" w:rsidR="002D6F6C" w:rsidRPr="00632199" w:rsidRDefault="00DA5A4A" w:rsidP="003A7DA7">
      <w:pPr>
        <w:adjustRightInd w:val="0"/>
        <w:ind w:left="-567"/>
        <w:jc w:val="both"/>
      </w:pPr>
      <w:r w:rsidRPr="00632199">
        <w:t>The Strategy should be read in conjunction with any specific assessment guidance published within each Standard and the requirements of any other Awarding Bodies/Audit Organisations, if relevant.</w:t>
      </w:r>
    </w:p>
    <w:p w14:paraId="3A39ED1F" w14:textId="77777777" w:rsidR="002D6F6C" w:rsidRPr="00A40DF7" w:rsidRDefault="002D6F6C" w:rsidP="002D6F6C">
      <w:pPr>
        <w:rPr>
          <w:rFonts w:asciiTheme="minorHAnsi" w:hAnsiTheme="minorHAnsi" w:cstheme="minorHAnsi"/>
          <w:bCs/>
          <w:szCs w:val="24"/>
        </w:rPr>
      </w:pPr>
    </w:p>
    <w:p w14:paraId="12C553E0" w14:textId="77777777" w:rsidR="002D6F6C" w:rsidRPr="00A40DF7" w:rsidRDefault="002D6F6C" w:rsidP="002D6F6C">
      <w:pPr>
        <w:rPr>
          <w:rFonts w:asciiTheme="minorHAnsi" w:hAnsiTheme="minorHAnsi" w:cstheme="minorHAnsi"/>
          <w:b/>
          <w:bCs/>
          <w:color w:val="FF0000"/>
          <w:sz w:val="26"/>
          <w:szCs w:val="26"/>
        </w:rPr>
      </w:pPr>
    </w:p>
    <w:p w14:paraId="55BF3668" w14:textId="77777777" w:rsidR="00C171FF" w:rsidRPr="00632199" w:rsidRDefault="00C171FF" w:rsidP="003A7DA7">
      <w:pPr>
        <w:pStyle w:val="Heading2"/>
        <w:ind w:left="284"/>
        <w:rPr>
          <w:sz w:val="22"/>
          <w:szCs w:val="22"/>
        </w:rPr>
      </w:pPr>
      <w:bookmarkStart w:id="1" w:name="_Toc450636981"/>
      <w:r w:rsidRPr="00632199">
        <w:rPr>
          <w:sz w:val="22"/>
          <w:szCs w:val="22"/>
        </w:rPr>
        <w:t>Definitions</w:t>
      </w:r>
      <w:bookmarkEnd w:id="1"/>
    </w:p>
    <w:p w14:paraId="23972886" w14:textId="77777777" w:rsidR="00C171FF" w:rsidRPr="00632199" w:rsidRDefault="00C171FF" w:rsidP="00C171FF"/>
    <w:tbl>
      <w:tblPr>
        <w:tblStyle w:val="TableGrid"/>
        <w:tblW w:w="0" w:type="auto"/>
        <w:tblLook w:val="04A0" w:firstRow="1" w:lastRow="0" w:firstColumn="1" w:lastColumn="0" w:noHBand="0" w:noVBand="1"/>
      </w:tblPr>
      <w:tblGrid>
        <w:gridCol w:w="2518"/>
        <w:gridCol w:w="6724"/>
      </w:tblGrid>
      <w:tr w:rsidR="00632199" w:rsidRPr="00632199" w14:paraId="58D6307F" w14:textId="77777777" w:rsidTr="00AA3796">
        <w:tc>
          <w:tcPr>
            <w:tcW w:w="2518" w:type="dxa"/>
          </w:tcPr>
          <w:p w14:paraId="78FA5001" w14:textId="31FB88E3" w:rsidR="00E84A01" w:rsidRPr="00632199" w:rsidRDefault="00E84A01" w:rsidP="00E84A01">
            <w:pPr>
              <w:rPr>
                <w:b/>
              </w:rPr>
            </w:pPr>
            <w:r w:rsidRPr="00632199">
              <w:rPr>
                <w:b/>
              </w:rPr>
              <w:t>Assessment</w:t>
            </w:r>
          </w:p>
        </w:tc>
        <w:tc>
          <w:tcPr>
            <w:tcW w:w="6724" w:type="dxa"/>
          </w:tcPr>
          <w:p w14:paraId="35DC2076" w14:textId="260C017C" w:rsidR="00E84A01" w:rsidRPr="00632199" w:rsidRDefault="00671E03" w:rsidP="00E84A01">
            <w:r>
              <w:t>Assessment is the process of ensuring that individuals are competent to undertake their job roles in accordance with an agreed Standard.</w:t>
            </w:r>
          </w:p>
        </w:tc>
      </w:tr>
      <w:tr w:rsidR="00632199" w:rsidRPr="00632199" w14:paraId="42590439" w14:textId="77777777" w:rsidTr="00AA3796">
        <w:tc>
          <w:tcPr>
            <w:tcW w:w="2518" w:type="dxa"/>
          </w:tcPr>
          <w:p w14:paraId="2C0F6BFA" w14:textId="4CF6E1D0" w:rsidR="00E84A01" w:rsidRPr="00632199" w:rsidRDefault="00E84A01" w:rsidP="00E84A01">
            <w:pPr>
              <w:rPr>
                <w:b/>
              </w:rPr>
            </w:pPr>
            <w:r w:rsidRPr="00632199">
              <w:rPr>
                <w:b/>
              </w:rPr>
              <w:t>Assessor</w:t>
            </w:r>
          </w:p>
        </w:tc>
        <w:tc>
          <w:tcPr>
            <w:tcW w:w="6724" w:type="dxa"/>
          </w:tcPr>
          <w:p w14:paraId="66AE289D" w14:textId="6DE5CC1D" w:rsidR="00E84A01" w:rsidRPr="00632199" w:rsidRDefault="00671E03" w:rsidP="00E84A01">
            <w:pPr>
              <w:adjustRightInd w:val="0"/>
            </w:pPr>
            <w:r>
              <w:t>An Assessor judges Candidate performance and evidence against a relevant Standard(s)</w:t>
            </w:r>
          </w:p>
        </w:tc>
      </w:tr>
      <w:tr w:rsidR="00632199" w:rsidRPr="00632199" w14:paraId="3C472223" w14:textId="77777777" w:rsidTr="00AA3796">
        <w:tc>
          <w:tcPr>
            <w:tcW w:w="2518" w:type="dxa"/>
          </w:tcPr>
          <w:p w14:paraId="6C03DBD7" w14:textId="77777777" w:rsidR="00C171FF" w:rsidRPr="00632199" w:rsidRDefault="00C171FF" w:rsidP="00AA3796">
            <w:pPr>
              <w:rPr>
                <w:b/>
              </w:rPr>
            </w:pPr>
            <w:r w:rsidRPr="00632199">
              <w:rPr>
                <w:b/>
              </w:rPr>
              <w:t>Auditor</w:t>
            </w:r>
          </w:p>
        </w:tc>
        <w:tc>
          <w:tcPr>
            <w:tcW w:w="6724" w:type="dxa"/>
          </w:tcPr>
          <w:p w14:paraId="6B15BED7" w14:textId="77777777" w:rsidR="00C171FF" w:rsidRPr="00632199" w:rsidRDefault="00C171FF" w:rsidP="00AA3796">
            <w:pPr>
              <w:adjustRightInd w:val="0"/>
            </w:pPr>
            <w:r w:rsidRPr="00632199">
              <w:t>See External Verifier</w:t>
            </w:r>
          </w:p>
        </w:tc>
      </w:tr>
      <w:tr w:rsidR="00632199" w:rsidRPr="00632199" w14:paraId="20FFF3A8" w14:textId="77777777" w:rsidTr="00AA3796">
        <w:tc>
          <w:tcPr>
            <w:tcW w:w="2518" w:type="dxa"/>
          </w:tcPr>
          <w:p w14:paraId="5110AD20" w14:textId="77777777" w:rsidR="00233AD5" w:rsidRPr="00632199" w:rsidRDefault="00233AD5" w:rsidP="00233AD5">
            <w:pPr>
              <w:rPr>
                <w:b/>
              </w:rPr>
            </w:pPr>
            <w:r w:rsidRPr="00632199">
              <w:rPr>
                <w:b/>
              </w:rPr>
              <w:t>Awarding Body/</w:t>
            </w:r>
          </w:p>
          <w:p w14:paraId="534D24E2" w14:textId="07CE97B8" w:rsidR="00233AD5" w:rsidRPr="00632199" w:rsidRDefault="00233AD5" w:rsidP="00233AD5">
            <w:pPr>
              <w:rPr>
                <w:b/>
              </w:rPr>
            </w:pPr>
            <w:r w:rsidRPr="00632199">
              <w:rPr>
                <w:b/>
              </w:rPr>
              <w:t>Audit Organisation</w:t>
            </w:r>
          </w:p>
        </w:tc>
        <w:tc>
          <w:tcPr>
            <w:tcW w:w="6724" w:type="dxa"/>
          </w:tcPr>
          <w:p w14:paraId="518CC8CB" w14:textId="13625ECA" w:rsidR="00233AD5" w:rsidRPr="00632199" w:rsidRDefault="00671E03" w:rsidP="00233AD5">
            <w:pPr>
              <w:adjustRightInd w:val="0"/>
            </w:pPr>
            <w:r>
              <w:t>Awarding Bodies/Audit Organisations quality assure the delivery and assessment of qualifications and/or Standards.</w:t>
            </w:r>
          </w:p>
        </w:tc>
      </w:tr>
      <w:tr w:rsidR="00632199" w:rsidRPr="00632199" w14:paraId="52916FF4" w14:textId="77777777" w:rsidTr="00AA3796">
        <w:tc>
          <w:tcPr>
            <w:tcW w:w="2518" w:type="dxa"/>
          </w:tcPr>
          <w:p w14:paraId="16333AB1" w14:textId="713BFE6D" w:rsidR="00233AD5" w:rsidRPr="00632199" w:rsidRDefault="00233AD5" w:rsidP="00233AD5">
            <w:pPr>
              <w:rPr>
                <w:b/>
              </w:rPr>
            </w:pPr>
            <w:r w:rsidRPr="00632199">
              <w:rPr>
                <w:b/>
              </w:rPr>
              <w:t>Candidate</w:t>
            </w:r>
          </w:p>
        </w:tc>
        <w:tc>
          <w:tcPr>
            <w:tcW w:w="6724" w:type="dxa"/>
          </w:tcPr>
          <w:p w14:paraId="465F56CA" w14:textId="407D6E9E" w:rsidR="00233AD5" w:rsidRPr="00632199" w:rsidRDefault="00671E03" w:rsidP="00233AD5">
            <w:r>
              <w:t>Candidates are individuals who seek to be assessed as competent against a Standard(s).</w:t>
            </w:r>
          </w:p>
        </w:tc>
      </w:tr>
      <w:tr w:rsidR="00632199" w:rsidRPr="00632199" w14:paraId="3E59E868" w14:textId="77777777" w:rsidTr="00AA3796">
        <w:tc>
          <w:tcPr>
            <w:tcW w:w="2518" w:type="dxa"/>
          </w:tcPr>
          <w:p w14:paraId="3080C50C" w14:textId="770376C1" w:rsidR="00233AD5" w:rsidRPr="00632199" w:rsidRDefault="00233AD5" w:rsidP="00233AD5">
            <w:pPr>
              <w:rPr>
                <w:b/>
              </w:rPr>
            </w:pPr>
            <w:r w:rsidRPr="00632199">
              <w:rPr>
                <w:b/>
              </w:rPr>
              <w:t>Competence</w:t>
            </w:r>
          </w:p>
        </w:tc>
        <w:tc>
          <w:tcPr>
            <w:tcW w:w="6724" w:type="dxa"/>
          </w:tcPr>
          <w:p w14:paraId="57143C4B" w14:textId="320D9D07" w:rsidR="00233AD5" w:rsidRPr="00632199" w:rsidRDefault="00671E03" w:rsidP="00233AD5">
            <w:pPr>
              <w:adjustRightInd w:val="0"/>
            </w:pPr>
            <w:r>
              <w:t>Competence is the ability to perform activities within an occupation to the standards expected within employment. Individuals must provide evidence that they have the required experience, technical skills, knowledge, understanding and behaviour to perform a job role/function and that they apply them consistently, safely and in accordance with procedures and Standards.</w:t>
            </w:r>
          </w:p>
        </w:tc>
      </w:tr>
      <w:tr w:rsidR="00632199" w:rsidRPr="00632199" w14:paraId="64A4196D" w14:textId="77777777" w:rsidTr="00AA3796">
        <w:tc>
          <w:tcPr>
            <w:tcW w:w="2518" w:type="dxa"/>
          </w:tcPr>
          <w:p w14:paraId="1A35AB7C" w14:textId="54D2CF44" w:rsidR="00233AD5" w:rsidRPr="00632199" w:rsidRDefault="00233AD5" w:rsidP="00233AD5">
            <w:pPr>
              <w:rPr>
                <w:b/>
              </w:rPr>
            </w:pPr>
            <w:bookmarkStart w:id="2" w:name="_Hlk160806252"/>
            <w:r w:rsidRPr="00632199">
              <w:rPr>
                <w:b/>
              </w:rPr>
              <w:t>Expert Witness</w:t>
            </w:r>
          </w:p>
        </w:tc>
        <w:tc>
          <w:tcPr>
            <w:tcW w:w="6724" w:type="dxa"/>
          </w:tcPr>
          <w:p w14:paraId="18007563" w14:textId="4DED098B" w:rsidR="00233AD5" w:rsidRPr="00632199" w:rsidRDefault="00233AD5" w:rsidP="00233AD5">
            <w:pPr>
              <w:adjustRightInd w:val="0"/>
            </w:pPr>
            <w:r w:rsidRPr="00632199">
              <w:t xml:space="preserve">An experienced person (in the same discipline as the </w:t>
            </w:r>
            <w:r w:rsidR="00CE36B9">
              <w:t>Candidate</w:t>
            </w:r>
            <w:r w:rsidRPr="00632199">
              <w:t xml:space="preserve">) that may be required to support the assessment process by carrying out on the job observations on behalf of an Assessor. </w:t>
            </w:r>
          </w:p>
        </w:tc>
      </w:tr>
      <w:bookmarkEnd w:id="2"/>
      <w:tr w:rsidR="00632199" w:rsidRPr="00632199" w14:paraId="704B605C" w14:textId="77777777" w:rsidTr="00AA3796">
        <w:tc>
          <w:tcPr>
            <w:tcW w:w="2518" w:type="dxa"/>
          </w:tcPr>
          <w:p w14:paraId="067048DC" w14:textId="7698B2D7" w:rsidR="006C4CA9" w:rsidRPr="00632199" w:rsidRDefault="006C4CA9" w:rsidP="006C4CA9">
            <w:pPr>
              <w:rPr>
                <w:b/>
              </w:rPr>
            </w:pPr>
            <w:r w:rsidRPr="00632199">
              <w:rPr>
                <w:b/>
              </w:rPr>
              <w:t>External Verifier</w:t>
            </w:r>
          </w:p>
        </w:tc>
        <w:tc>
          <w:tcPr>
            <w:tcW w:w="6724" w:type="dxa"/>
          </w:tcPr>
          <w:p w14:paraId="1CA7E6BB" w14:textId="71653DCF" w:rsidR="006C4CA9" w:rsidRPr="00632199" w:rsidRDefault="00671E03" w:rsidP="006C4CA9">
            <w:pPr>
              <w:adjustRightInd w:val="0"/>
            </w:pPr>
            <w:r>
              <w:t>An External Verifier is employed by an Awarding Body/ Audit Organisation or by a Standards Setting Bodies/Organisations to ensure that Standards are being implemented consistently across all organisations. This will generally be achieved through an external verification visit or an audit. This role may also be carried out by Qualification Verifiers.</w:t>
            </w:r>
          </w:p>
        </w:tc>
      </w:tr>
    </w:tbl>
    <w:p w14:paraId="16BC8DC1" w14:textId="77777777" w:rsidR="00C171FF" w:rsidRPr="00632199" w:rsidRDefault="00C171FF" w:rsidP="00C171FF">
      <w:r w:rsidRPr="00632199">
        <w:br w:type="page"/>
      </w:r>
    </w:p>
    <w:tbl>
      <w:tblPr>
        <w:tblStyle w:val="TableGrid"/>
        <w:tblW w:w="0" w:type="auto"/>
        <w:tblLook w:val="04A0" w:firstRow="1" w:lastRow="0" w:firstColumn="1" w:lastColumn="0" w:noHBand="0" w:noVBand="1"/>
      </w:tblPr>
      <w:tblGrid>
        <w:gridCol w:w="2518"/>
        <w:gridCol w:w="6724"/>
      </w:tblGrid>
      <w:tr w:rsidR="00632199" w:rsidRPr="00632199" w14:paraId="1EA36A30" w14:textId="77777777" w:rsidTr="00AA3796">
        <w:tc>
          <w:tcPr>
            <w:tcW w:w="2518" w:type="dxa"/>
          </w:tcPr>
          <w:p w14:paraId="5A96E0FB" w14:textId="75785E90" w:rsidR="00FC6BC3" w:rsidRPr="00632199" w:rsidRDefault="00FC6BC3" w:rsidP="00FC6BC3">
            <w:pPr>
              <w:rPr>
                <w:b/>
              </w:rPr>
            </w:pPr>
            <w:r w:rsidRPr="00632199">
              <w:rPr>
                <w:b/>
              </w:rPr>
              <w:lastRenderedPageBreak/>
              <w:t>Internal Verifier</w:t>
            </w:r>
          </w:p>
        </w:tc>
        <w:tc>
          <w:tcPr>
            <w:tcW w:w="6724" w:type="dxa"/>
          </w:tcPr>
          <w:p w14:paraId="6941DC0A" w14:textId="05B04E8B" w:rsidR="00FC6BC3" w:rsidRPr="00632199" w:rsidRDefault="00671E03" w:rsidP="00FC6BC3">
            <w:pPr>
              <w:adjustRightInd w:val="0"/>
              <w:spacing w:after="120"/>
              <w:contextualSpacing/>
            </w:pPr>
            <w:r>
              <w:t>An Internal Verifier assures the quality and consistency of assessments carried out against the relevant Standard(s). Internal Verifiers may also be referred to as Internal Quality Assurers or Quality Monitors.</w:t>
            </w:r>
          </w:p>
        </w:tc>
      </w:tr>
      <w:tr w:rsidR="00632199" w:rsidRPr="00632199" w14:paraId="3C70A265" w14:textId="77777777" w:rsidTr="00AA3796">
        <w:tc>
          <w:tcPr>
            <w:tcW w:w="2518" w:type="dxa"/>
          </w:tcPr>
          <w:p w14:paraId="7E2D8541" w14:textId="6CF10BDD" w:rsidR="00FC6BC3" w:rsidRPr="00632199" w:rsidRDefault="00FC6BC3" w:rsidP="00FC6BC3">
            <w:pPr>
              <w:adjustRightInd w:val="0"/>
              <w:rPr>
                <w:b/>
              </w:rPr>
            </w:pPr>
            <w:r w:rsidRPr="00632199">
              <w:rPr>
                <w:b/>
              </w:rPr>
              <w:t>National Occupational Standard (NOS)</w:t>
            </w:r>
          </w:p>
        </w:tc>
        <w:tc>
          <w:tcPr>
            <w:tcW w:w="6724" w:type="dxa"/>
          </w:tcPr>
          <w:p w14:paraId="335E1C4E" w14:textId="071F714D" w:rsidR="00FC6BC3" w:rsidRPr="00632199" w:rsidRDefault="00FC6BC3" w:rsidP="00FC6BC3">
            <w:r w:rsidRPr="00632199">
              <w:t>A National Occupational Standard defines the expected level of performance, knowledge and understanding an individual must achieve when carrying out job roles/functions in the workplace.  National occupational Standards therefore act as benchmarks for assessing on-the-job competence and can be used to monitor the performance of the workforce on an on-going basis to maintain a safe and productive workforce.  National Occupational Standards must be assessed in the workplace in accordance with operational requirements and procedures.</w:t>
            </w:r>
          </w:p>
        </w:tc>
      </w:tr>
      <w:tr w:rsidR="00632199" w:rsidRPr="00632199" w14:paraId="6F183CF2" w14:textId="77777777" w:rsidTr="00AA3796">
        <w:tc>
          <w:tcPr>
            <w:tcW w:w="2518" w:type="dxa"/>
          </w:tcPr>
          <w:p w14:paraId="4812D029" w14:textId="292DEE6B" w:rsidR="00FC6BC3" w:rsidRPr="00632199" w:rsidRDefault="00FC6BC3" w:rsidP="00FC6BC3">
            <w:pPr>
              <w:adjustRightInd w:val="0"/>
              <w:rPr>
                <w:b/>
              </w:rPr>
            </w:pPr>
            <w:r w:rsidRPr="00632199">
              <w:rPr>
                <w:b/>
              </w:rPr>
              <w:t>Standards Setting Bodies/Organisations</w:t>
            </w:r>
          </w:p>
        </w:tc>
        <w:tc>
          <w:tcPr>
            <w:tcW w:w="6724" w:type="dxa"/>
          </w:tcPr>
          <w:p w14:paraId="14C89C13" w14:textId="08F60979" w:rsidR="00FC6BC3" w:rsidRPr="00632199" w:rsidRDefault="00FC6BC3" w:rsidP="00FC6BC3">
            <w:pPr>
              <w:ind w:right="743"/>
            </w:pPr>
            <w:r w:rsidRPr="00632199">
              <w:t xml:space="preserve">Standards Setting Bodies/Organisations work with employers </w:t>
            </w:r>
            <w:r w:rsidRPr="00632199">
              <w:rPr>
                <w:bCs/>
              </w:rPr>
              <w:t>to develop</w:t>
            </w:r>
            <w:r w:rsidRPr="00632199">
              <w:t xml:space="preserve"> National Occupational Standards (NOS) for the industries, sectors and occupations they represent.  OPITO is the Standards Setting Body for the upstream energy industry.</w:t>
            </w:r>
          </w:p>
        </w:tc>
      </w:tr>
      <w:tr w:rsidR="00632199" w:rsidRPr="00632199" w14:paraId="3AD719BC" w14:textId="77777777" w:rsidTr="00AA3796">
        <w:tc>
          <w:tcPr>
            <w:tcW w:w="2518" w:type="dxa"/>
          </w:tcPr>
          <w:p w14:paraId="0FE70B06" w14:textId="77777777" w:rsidR="00C171FF" w:rsidRPr="00632199" w:rsidRDefault="00C171FF" w:rsidP="00AA3796">
            <w:pPr>
              <w:rPr>
                <w:b/>
              </w:rPr>
            </w:pPr>
            <w:r w:rsidRPr="00632199">
              <w:rPr>
                <w:b/>
              </w:rPr>
              <w:t>Verification</w:t>
            </w:r>
          </w:p>
        </w:tc>
        <w:tc>
          <w:tcPr>
            <w:tcW w:w="6724" w:type="dxa"/>
          </w:tcPr>
          <w:p w14:paraId="2D9EA971" w14:textId="77777777" w:rsidR="00C171FF" w:rsidRPr="00632199" w:rsidRDefault="00C171FF" w:rsidP="00AA3796">
            <w:pPr>
              <w:tabs>
                <w:tab w:val="num" w:pos="284"/>
              </w:tabs>
            </w:pPr>
            <w:r w:rsidRPr="00632199">
              <w:t>Verification is the process of ensuring that all assessments have been fair, safe, valid, reliable, practicable, equitable and consistent across all assessment decisions.</w:t>
            </w:r>
          </w:p>
        </w:tc>
      </w:tr>
      <w:tr w:rsidR="00632199" w:rsidRPr="00632199" w14:paraId="23F6FA83" w14:textId="77777777" w:rsidTr="00AA3796">
        <w:tc>
          <w:tcPr>
            <w:tcW w:w="2518" w:type="dxa"/>
          </w:tcPr>
          <w:p w14:paraId="69031849" w14:textId="77777777" w:rsidR="00C171FF" w:rsidRPr="00632199" w:rsidRDefault="00C171FF" w:rsidP="00AA3796">
            <w:pPr>
              <w:rPr>
                <w:b/>
                <w:bCs/>
              </w:rPr>
            </w:pPr>
            <w:r w:rsidRPr="00632199">
              <w:rPr>
                <w:b/>
                <w:bCs/>
              </w:rPr>
              <w:t>Vocational Qualification</w:t>
            </w:r>
          </w:p>
        </w:tc>
        <w:tc>
          <w:tcPr>
            <w:tcW w:w="6724" w:type="dxa"/>
          </w:tcPr>
          <w:p w14:paraId="36C7A44D" w14:textId="77777777" w:rsidR="00C171FF" w:rsidRPr="00632199" w:rsidRDefault="00C171FF" w:rsidP="00AA3796">
            <w:pPr>
              <w:rPr>
                <w:rFonts w:eastAsia="Times New Roman"/>
              </w:rPr>
            </w:pPr>
            <w:r w:rsidRPr="00632199">
              <w:t>Vocational Qualifications provide recognition of an individual’s ability to work in real working environments.  Such qualifications include Global Vocational Qualification, Scottish Vocational Qualification (SVQ) and National Vocational Qualification (NVQ).</w:t>
            </w:r>
          </w:p>
        </w:tc>
      </w:tr>
    </w:tbl>
    <w:p w14:paraId="54F53394" w14:textId="77777777" w:rsidR="00C171FF" w:rsidRPr="00632199" w:rsidRDefault="00C171FF" w:rsidP="00C171FF"/>
    <w:p w14:paraId="5DC89340" w14:textId="77777777" w:rsidR="00C171FF" w:rsidRPr="00632199" w:rsidRDefault="00C171FF" w:rsidP="00C171FF">
      <w:pPr>
        <w:pStyle w:val="Heading2"/>
        <w:rPr>
          <w:sz w:val="22"/>
          <w:szCs w:val="22"/>
        </w:rPr>
      </w:pPr>
    </w:p>
    <w:p w14:paraId="72C5D9F6" w14:textId="77777777" w:rsidR="00C171FF" w:rsidRPr="00632199" w:rsidRDefault="00C171FF" w:rsidP="003A7DA7">
      <w:pPr>
        <w:pStyle w:val="Heading2"/>
        <w:ind w:left="0"/>
        <w:rPr>
          <w:sz w:val="22"/>
          <w:szCs w:val="22"/>
        </w:rPr>
      </w:pPr>
      <w:bookmarkStart w:id="3" w:name="_Toc450636982"/>
      <w:r w:rsidRPr="00632199">
        <w:rPr>
          <w:sz w:val="22"/>
          <w:szCs w:val="22"/>
        </w:rPr>
        <w:t>Typical Sections of a Standard</w:t>
      </w:r>
      <w:bookmarkEnd w:id="3"/>
      <w:r w:rsidRPr="00632199">
        <w:rPr>
          <w:sz w:val="22"/>
          <w:szCs w:val="22"/>
        </w:rPr>
        <w:t xml:space="preserve"> </w:t>
      </w:r>
    </w:p>
    <w:p w14:paraId="2B4798CC" w14:textId="77777777" w:rsidR="00C171FF" w:rsidRPr="00632199" w:rsidRDefault="00C171FF" w:rsidP="00C171FF">
      <w:pPr>
        <w:rPr>
          <w:b/>
          <w:bCs/>
          <w:color w:val="FF0000"/>
        </w:rPr>
      </w:pPr>
    </w:p>
    <w:tbl>
      <w:tblPr>
        <w:tblStyle w:val="TableGrid"/>
        <w:tblW w:w="0" w:type="auto"/>
        <w:tblLook w:val="04A0" w:firstRow="1" w:lastRow="0" w:firstColumn="1" w:lastColumn="0" w:noHBand="0" w:noVBand="1"/>
      </w:tblPr>
      <w:tblGrid>
        <w:gridCol w:w="2518"/>
        <w:gridCol w:w="6724"/>
      </w:tblGrid>
      <w:tr w:rsidR="00C171FF" w:rsidRPr="00632199" w14:paraId="38266CBE" w14:textId="77777777" w:rsidTr="00AA3796">
        <w:tc>
          <w:tcPr>
            <w:tcW w:w="2518" w:type="dxa"/>
          </w:tcPr>
          <w:p w14:paraId="74BD8945" w14:textId="77777777" w:rsidR="00C171FF" w:rsidRPr="00632199" w:rsidRDefault="00C171FF" w:rsidP="00C171FF">
            <w:pPr>
              <w:rPr>
                <w:b/>
              </w:rPr>
            </w:pPr>
            <w:r w:rsidRPr="00632199">
              <w:rPr>
                <w:b/>
              </w:rPr>
              <w:t>Outcomes/Elements</w:t>
            </w:r>
          </w:p>
        </w:tc>
        <w:tc>
          <w:tcPr>
            <w:tcW w:w="6724" w:type="dxa"/>
          </w:tcPr>
          <w:p w14:paraId="264820FE" w14:textId="741F8ED8" w:rsidR="00C171FF" w:rsidRPr="00632199" w:rsidRDefault="00C171FF" w:rsidP="00AA3796">
            <w:pPr>
              <w:spacing w:before="60" w:after="60"/>
            </w:pPr>
            <w:r w:rsidRPr="00632199">
              <w:t>describe the skills that need to be demonstrated to achieve the Standard.</w:t>
            </w:r>
            <w:r w:rsidRPr="00632199">
              <w:rPr>
                <w:b/>
              </w:rPr>
              <w:t xml:space="preserve">  All</w:t>
            </w:r>
            <w:r w:rsidRPr="00632199">
              <w:t xml:space="preserve"> the Outcomes/Elements must be met to achieve the </w:t>
            </w:r>
            <w:r w:rsidR="00632199" w:rsidRPr="00632199">
              <w:t>Standard</w:t>
            </w:r>
            <w:r w:rsidR="007F02CD">
              <w:t>.</w:t>
            </w:r>
          </w:p>
        </w:tc>
      </w:tr>
      <w:tr w:rsidR="00C171FF" w:rsidRPr="00632199" w14:paraId="2FE0C6AF" w14:textId="77777777" w:rsidTr="00AA3796">
        <w:tc>
          <w:tcPr>
            <w:tcW w:w="2518" w:type="dxa"/>
          </w:tcPr>
          <w:p w14:paraId="35267EE7" w14:textId="77777777" w:rsidR="00C171FF" w:rsidRPr="00632199" w:rsidRDefault="00C171FF" w:rsidP="00C171FF">
            <w:pPr>
              <w:rPr>
                <w:b/>
              </w:rPr>
            </w:pPr>
            <w:r w:rsidRPr="00632199">
              <w:rPr>
                <w:b/>
              </w:rPr>
              <w:t>Performance Criteria</w:t>
            </w:r>
          </w:p>
        </w:tc>
        <w:tc>
          <w:tcPr>
            <w:tcW w:w="6724" w:type="dxa"/>
          </w:tcPr>
          <w:p w14:paraId="20DF4181" w14:textId="504B4EEC" w:rsidR="00C171FF" w:rsidRPr="00632199" w:rsidRDefault="00C171FF" w:rsidP="00AA3796">
            <w:pPr>
              <w:spacing w:before="60" w:after="60"/>
              <w:rPr>
                <w:b/>
              </w:rPr>
            </w:pPr>
            <w:r w:rsidRPr="00632199">
              <w:t xml:space="preserve">define the evidence that candidates must provide to show that they have the required skills.  </w:t>
            </w:r>
            <w:r w:rsidRPr="00632199">
              <w:rPr>
                <w:b/>
              </w:rPr>
              <w:t>All</w:t>
            </w:r>
            <w:r w:rsidRPr="00632199">
              <w:t xml:space="preserve"> the Performance Criteria must be met to achieve the </w:t>
            </w:r>
            <w:r w:rsidR="00632199" w:rsidRPr="00632199">
              <w:t>Standard</w:t>
            </w:r>
            <w:r w:rsidR="007F02CD">
              <w:t>.</w:t>
            </w:r>
          </w:p>
        </w:tc>
      </w:tr>
      <w:tr w:rsidR="00C171FF" w:rsidRPr="00632199" w14:paraId="5D18D887" w14:textId="77777777" w:rsidTr="00AA3796">
        <w:tc>
          <w:tcPr>
            <w:tcW w:w="2518" w:type="dxa"/>
          </w:tcPr>
          <w:p w14:paraId="5D32F2BA" w14:textId="77777777" w:rsidR="00C171FF" w:rsidRPr="00632199" w:rsidRDefault="00C171FF" w:rsidP="00C171FF">
            <w:pPr>
              <w:rPr>
                <w:b/>
              </w:rPr>
            </w:pPr>
            <w:r w:rsidRPr="00632199">
              <w:rPr>
                <w:b/>
              </w:rPr>
              <w:t>Scope</w:t>
            </w:r>
          </w:p>
        </w:tc>
        <w:tc>
          <w:tcPr>
            <w:tcW w:w="6724" w:type="dxa"/>
          </w:tcPr>
          <w:p w14:paraId="0696AA88" w14:textId="2593A695" w:rsidR="00C171FF" w:rsidRPr="00632199" w:rsidRDefault="00C171FF" w:rsidP="00AA3796">
            <w:pPr>
              <w:spacing w:before="60" w:after="60"/>
            </w:pPr>
            <w:r w:rsidRPr="00632199">
              <w:t xml:space="preserve">defines the range of activities that must be assessed to achieve the Outcomes and Performance Criteria. </w:t>
            </w:r>
            <w:proofErr w:type="gramStart"/>
            <w:r w:rsidRPr="00632199">
              <w:t>Typically</w:t>
            </w:r>
            <w:proofErr w:type="gramEnd"/>
            <w:r w:rsidRPr="00632199">
              <w:t xml:space="preserve"> all the Scope must be met to achieve the </w:t>
            </w:r>
            <w:r w:rsidR="00632199" w:rsidRPr="00632199">
              <w:t xml:space="preserve">Standard </w:t>
            </w:r>
            <w:r w:rsidRPr="00632199">
              <w:t>(unless specifically stated otherwise).</w:t>
            </w:r>
          </w:p>
        </w:tc>
      </w:tr>
      <w:tr w:rsidR="00C171FF" w:rsidRPr="00632199" w14:paraId="0C5EE27B" w14:textId="77777777" w:rsidTr="00AA3796">
        <w:tc>
          <w:tcPr>
            <w:tcW w:w="2518" w:type="dxa"/>
          </w:tcPr>
          <w:p w14:paraId="1D37AAEE" w14:textId="77777777" w:rsidR="00C171FF" w:rsidRPr="00632199" w:rsidRDefault="00C171FF" w:rsidP="00C171FF">
            <w:pPr>
              <w:rPr>
                <w:b/>
              </w:rPr>
            </w:pPr>
            <w:r w:rsidRPr="00632199">
              <w:rPr>
                <w:b/>
              </w:rPr>
              <w:t>Knowledge</w:t>
            </w:r>
          </w:p>
        </w:tc>
        <w:tc>
          <w:tcPr>
            <w:tcW w:w="6724" w:type="dxa"/>
          </w:tcPr>
          <w:p w14:paraId="7BA537E9" w14:textId="77777777" w:rsidR="00C171FF" w:rsidRPr="00632199" w:rsidRDefault="00C171FF" w:rsidP="00AA3796">
            <w:pPr>
              <w:spacing w:before="60" w:after="60"/>
              <w:rPr>
                <w:i/>
              </w:rPr>
            </w:pPr>
            <w:r w:rsidRPr="00632199">
              <w:t xml:space="preserve">defines what the Candidate must know and understand </w:t>
            </w:r>
            <w:proofErr w:type="gramStart"/>
            <w:r w:rsidRPr="00632199">
              <w:t>in order to</w:t>
            </w:r>
            <w:proofErr w:type="gramEnd"/>
            <w:r w:rsidRPr="00632199">
              <w:t xml:space="preserve"> complete the skills being assessed.  The knowledge is considered essential and not what is nice to have.</w:t>
            </w:r>
          </w:p>
        </w:tc>
      </w:tr>
      <w:tr w:rsidR="00C171FF" w:rsidRPr="00632199" w14:paraId="1D96FB7F" w14:textId="77777777" w:rsidTr="00AA3796">
        <w:tc>
          <w:tcPr>
            <w:tcW w:w="2518" w:type="dxa"/>
          </w:tcPr>
          <w:p w14:paraId="2F232D7A" w14:textId="77777777" w:rsidR="00C171FF" w:rsidRPr="00632199" w:rsidRDefault="00C171FF" w:rsidP="00C171FF">
            <w:pPr>
              <w:rPr>
                <w:b/>
              </w:rPr>
            </w:pPr>
            <w:r w:rsidRPr="00632199">
              <w:rPr>
                <w:b/>
              </w:rPr>
              <w:t>Assessment Guidance</w:t>
            </w:r>
          </w:p>
        </w:tc>
        <w:tc>
          <w:tcPr>
            <w:tcW w:w="6724" w:type="dxa"/>
          </w:tcPr>
          <w:p w14:paraId="73945BE9" w14:textId="77777777" w:rsidR="00C171FF" w:rsidRPr="00632199" w:rsidRDefault="00C171FF" w:rsidP="00AA3796">
            <w:pPr>
              <w:spacing w:before="60" w:after="60"/>
            </w:pPr>
            <w:r w:rsidRPr="00632199">
              <w:t>provides details of how assessment must be carried out and what types of assessment methods must be used.</w:t>
            </w:r>
          </w:p>
        </w:tc>
      </w:tr>
      <w:tr w:rsidR="00C171FF" w:rsidRPr="00632199" w14:paraId="2E01F331" w14:textId="77777777" w:rsidTr="00AA3796">
        <w:tc>
          <w:tcPr>
            <w:tcW w:w="2518" w:type="dxa"/>
          </w:tcPr>
          <w:p w14:paraId="443B08BC" w14:textId="77777777" w:rsidR="00C171FF" w:rsidRPr="00632199" w:rsidRDefault="00C171FF" w:rsidP="00C171FF">
            <w:pPr>
              <w:rPr>
                <w:b/>
              </w:rPr>
            </w:pPr>
            <w:r w:rsidRPr="00632199">
              <w:rPr>
                <w:b/>
              </w:rPr>
              <w:t xml:space="preserve">Evidence Requirements </w:t>
            </w:r>
          </w:p>
        </w:tc>
        <w:tc>
          <w:tcPr>
            <w:tcW w:w="6724" w:type="dxa"/>
          </w:tcPr>
          <w:p w14:paraId="27CAE6B8" w14:textId="77777777" w:rsidR="00C171FF" w:rsidRPr="00632199" w:rsidRDefault="00C171FF" w:rsidP="00AA3796">
            <w:pPr>
              <w:spacing w:before="60" w:after="60"/>
            </w:pPr>
            <w:r w:rsidRPr="00632199">
              <w:t>define the</w:t>
            </w:r>
            <w:r w:rsidRPr="00632199">
              <w:rPr>
                <w:b/>
              </w:rPr>
              <w:t xml:space="preserve"> </w:t>
            </w:r>
            <w:r w:rsidRPr="00632199">
              <w:t xml:space="preserve">type and quantity of evidence that must be provided.  </w:t>
            </w:r>
            <w:r w:rsidRPr="00632199">
              <w:rPr>
                <w:b/>
              </w:rPr>
              <w:t>All</w:t>
            </w:r>
            <w:r w:rsidRPr="00632199">
              <w:t xml:space="preserve"> these requirements must be met.</w:t>
            </w:r>
          </w:p>
        </w:tc>
      </w:tr>
    </w:tbl>
    <w:p w14:paraId="2615F5F9" w14:textId="77777777" w:rsidR="00570E9A" w:rsidRDefault="00570E9A" w:rsidP="00570E9A">
      <w:pPr>
        <w:spacing w:line="276" w:lineRule="auto"/>
        <w:sectPr w:rsidR="00570E9A" w:rsidSect="00B82845">
          <w:pgSz w:w="11910" w:h="16840"/>
          <w:pgMar w:top="1320" w:right="500" w:bottom="1220" w:left="1680" w:header="0" w:footer="1035" w:gutter="0"/>
          <w:cols w:space="720"/>
        </w:sectPr>
      </w:pPr>
    </w:p>
    <w:p w14:paraId="744F74DD" w14:textId="19153E86" w:rsidR="00BC03F0" w:rsidRPr="00C020B8" w:rsidRDefault="00BC03F0" w:rsidP="00272767">
      <w:pPr>
        <w:rPr>
          <w:b/>
          <w:sz w:val="28"/>
          <w:szCs w:val="28"/>
        </w:rPr>
      </w:pPr>
      <w:r w:rsidRPr="00C020B8">
        <w:rPr>
          <w:b/>
          <w:sz w:val="28"/>
          <w:szCs w:val="28"/>
        </w:rPr>
        <w:lastRenderedPageBreak/>
        <w:t>Assessment requirements</w:t>
      </w:r>
    </w:p>
    <w:p w14:paraId="598C1F22" w14:textId="77777777" w:rsidR="0040061A" w:rsidRPr="00C020B8" w:rsidRDefault="0040061A" w:rsidP="00272767">
      <w:pPr>
        <w:rPr>
          <w:b/>
          <w:sz w:val="28"/>
          <w:szCs w:val="28"/>
        </w:rPr>
      </w:pPr>
    </w:p>
    <w:p w14:paraId="38F6B52A" w14:textId="77777777" w:rsidR="0040061A" w:rsidRPr="00C020B8" w:rsidRDefault="0040061A" w:rsidP="0040061A">
      <w:pPr>
        <w:keepNext/>
        <w:keepLines/>
        <w:widowControl/>
        <w:autoSpaceDE/>
        <w:autoSpaceDN/>
        <w:outlineLvl w:val="1"/>
        <w:rPr>
          <w:rFonts w:ascii="Calibri" w:eastAsia="Times New Roman" w:hAnsi="Calibri" w:cs="Times New Roman"/>
          <w:b/>
          <w:bCs/>
          <w:sz w:val="28"/>
          <w:szCs w:val="26"/>
          <w:lang w:eastAsia="en-US" w:bidi="ar-SA"/>
        </w:rPr>
      </w:pPr>
      <w:bookmarkStart w:id="4" w:name="_Toc450636984"/>
      <w:r w:rsidRPr="00C020B8">
        <w:rPr>
          <w:rFonts w:ascii="Calibri" w:eastAsia="Times New Roman" w:hAnsi="Calibri" w:cs="Times New Roman"/>
          <w:b/>
          <w:bCs/>
          <w:sz w:val="28"/>
          <w:szCs w:val="26"/>
          <w:lang w:eastAsia="en-US" w:bidi="ar-SA"/>
        </w:rPr>
        <w:t>The Purpose of Assessment and Verification</w:t>
      </w:r>
      <w:bookmarkEnd w:id="4"/>
    </w:p>
    <w:p w14:paraId="6B90E8F1" w14:textId="77777777" w:rsidR="0040061A" w:rsidRPr="00C020B8" w:rsidRDefault="0040061A" w:rsidP="0040061A">
      <w:pPr>
        <w:widowControl/>
        <w:adjustRightInd w:val="0"/>
        <w:rPr>
          <w:rFonts w:ascii="Calibri" w:eastAsia="Calibri" w:hAnsi="Calibri" w:cs="Calibri"/>
          <w:szCs w:val="24"/>
          <w:lang w:eastAsia="en-US" w:bidi="ar-SA"/>
        </w:rPr>
      </w:pPr>
    </w:p>
    <w:p w14:paraId="314559D7" w14:textId="77777777" w:rsidR="0040061A" w:rsidRPr="00C020B8" w:rsidRDefault="0040061A" w:rsidP="0040061A">
      <w:pPr>
        <w:widowControl/>
        <w:adjustRightInd w:val="0"/>
        <w:jc w:val="both"/>
        <w:rPr>
          <w:rFonts w:eastAsia="Calibri"/>
          <w:szCs w:val="24"/>
          <w:lang w:eastAsia="en-US" w:bidi="ar-SA"/>
        </w:rPr>
      </w:pPr>
      <w:r w:rsidRPr="00C020B8">
        <w:rPr>
          <w:rFonts w:eastAsia="Calibri"/>
          <w:szCs w:val="24"/>
          <w:lang w:eastAsia="en-US" w:bidi="ar-SA"/>
        </w:rPr>
        <w:t xml:space="preserve">To be </w:t>
      </w:r>
      <w:r w:rsidRPr="00C020B8">
        <w:rPr>
          <w:rFonts w:eastAsia="Calibri"/>
          <w:b/>
          <w:szCs w:val="24"/>
          <w:lang w:eastAsia="en-US" w:bidi="ar-SA"/>
        </w:rPr>
        <w:t>competent</w:t>
      </w:r>
      <w:r w:rsidRPr="00C020B8">
        <w:rPr>
          <w:rFonts w:eastAsia="Calibri"/>
          <w:szCs w:val="24"/>
          <w:lang w:eastAsia="en-US" w:bidi="ar-SA"/>
        </w:rPr>
        <w:t xml:space="preserve">, individuals must provide evidence that they have the required experience, technical skills, knowledge, understanding and behaviour to perform a job role/function and that they apply them consistently, safely and in accordance with relevant procedures and Standards.     </w:t>
      </w:r>
    </w:p>
    <w:p w14:paraId="4C946359" w14:textId="77777777" w:rsidR="0040061A" w:rsidRPr="00C020B8" w:rsidRDefault="0040061A" w:rsidP="0040061A">
      <w:pPr>
        <w:widowControl/>
        <w:adjustRightInd w:val="0"/>
        <w:jc w:val="both"/>
        <w:rPr>
          <w:rFonts w:eastAsia="Calibri"/>
          <w:szCs w:val="24"/>
          <w:lang w:eastAsia="en-US" w:bidi="ar-SA"/>
        </w:rPr>
      </w:pPr>
    </w:p>
    <w:p w14:paraId="73B429CA" w14:textId="77777777" w:rsidR="0040061A" w:rsidRPr="00C020B8" w:rsidRDefault="0040061A" w:rsidP="0040061A">
      <w:pPr>
        <w:widowControl/>
        <w:adjustRightInd w:val="0"/>
        <w:jc w:val="both"/>
        <w:rPr>
          <w:rFonts w:eastAsia="Calibri"/>
          <w:szCs w:val="24"/>
          <w:lang w:eastAsia="en-US" w:bidi="ar-SA"/>
        </w:rPr>
      </w:pPr>
      <w:r w:rsidRPr="00C020B8">
        <w:rPr>
          <w:rFonts w:eastAsia="Calibri"/>
          <w:szCs w:val="24"/>
          <w:lang w:eastAsia="en-US" w:bidi="ar-SA"/>
        </w:rPr>
        <w:t xml:space="preserve">The purpose of the </w:t>
      </w:r>
      <w:r w:rsidRPr="00C020B8">
        <w:rPr>
          <w:rFonts w:eastAsia="Calibri"/>
          <w:b/>
          <w:szCs w:val="24"/>
          <w:lang w:eastAsia="en-US" w:bidi="ar-SA"/>
        </w:rPr>
        <w:t>assessment process</w:t>
      </w:r>
      <w:r w:rsidRPr="00C020B8">
        <w:rPr>
          <w:rFonts w:eastAsia="Calibri"/>
          <w:szCs w:val="24"/>
          <w:lang w:eastAsia="en-US" w:bidi="ar-SA"/>
        </w:rPr>
        <w:t xml:space="preserve"> is to ensure that individuals are competent to undertake their job role or function within the oil and gas industry.  </w:t>
      </w:r>
    </w:p>
    <w:p w14:paraId="61B43021" w14:textId="77777777" w:rsidR="0040061A" w:rsidRPr="00C020B8" w:rsidRDefault="0040061A" w:rsidP="0040061A">
      <w:pPr>
        <w:widowControl/>
        <w:adjustRightInd w:val="0"/>
        <w:jc w:val="both"/>
        <w:rPr>
          <w:rFonts w:eastAsia="Calibri"/>
          <w:szCs w:val="24"/>
          <w:lang w:eastAsia="en-US" w:bidi="ar-SA"/>
        </w:rPr>
      </w:pPr>
    </w:p>
    <w:p w14:paraId="58A744AB" w14:textId="77777777" w:rsidR="0040061A" w:rsidRPr="00C020B8" w:rsidRDefault="0040061A" w:rsidP="0040061A">
      <w:pPr>
        <w:widowControl/>
        <w:adjustRightInd w:val="0"/>
        <w:jc w:val="both"/>
        <w:rPr>
          <w:rFonts w:eastAsia="Calibri"/>
          <w:szCs w:val="24"/>
          <w:lang w:eastAsia="en-US" w:bidi="ar-SA"/>
        </w:rPr>
      </w:pPr>
      <w:r w:rsidRPr="00C020B8">
        <w:rPr>
          <w:rFonts w:eastAsia="Calibri"/>
          <w:szCs w:val="24"/>
          <w:lang w:eastAsia="en-US" w:bidi="ar-SA"/>
        </w:rPr>
        <w:t xml:space="preserve">The purpose of the </w:t>
      </w:r>
      <w:r w:rsidRPr="00C020B8">
        <w:rPr>
          <w:rFonts w:eastAsia="Calibri"/>
          <w:b/>
          <w:szCs w:val="24"/>
          <w:lang w:eastAsia="en-US" w:bidi="ar-SA"/>
        </w:rPr>
        <w:t>verification process</w:t>
      </w:r>
      <w:r w:rsidRPr="00C020B8">
        <w:rPr>
          <w:rFonts w:eastAsia="Calibri"/>
          <w:szCs w:val="24"/>
          <w:lang w:eastAsia="en-US" w:bidi="ar-SA"/>
        </w:rPr>
        <w:t xml:space="preserve"> is to ensure that all assessments have been fair, safe, valid, reliable, practicable, equitable and consistent.</w:t>
      </w:r>
    </w:p>
    <w:p w14:paraId="2402366E" w14:textId="77777777" w:rsidR="0040061A" w:rsidRPr="00C020B8" w:rsidRDefault="0040061A" w:rsidP="0040061A">
      <w:pPr>
        <w:widowControl/>
        <w:adjustRightInd w:val="0"/>
        <w:jc w:val="both"/>
        <w:rPr>
          <w:rFonts w:ascii="Calibri" w:eastAsia="Calibri" w:hAnsi="Calibri" w:cs="Calibri"/>
          <w:b/>
          <w:bCs/>
          <w:sz w:val="26"/>
          <w:szCs w:val="26"/>
          <w:lang w:eastAsia="en-US" w:bidi="ar-SA"/>
        </w:rPr>
      </w:pPr>
    </w:p>
    <w:p w14:paraId="03EED96E" w14:textId="77777777" w:rsidR="0040061A" w:rsidRPr="00C020B8" w:rsidRDefault="0040061A" w:rsidP="0040061A">
      <w:pPr>
        <w:widowControl/>
        <w:adjustRightInd w:val="0"/>
        <w:jc w:val="both"/>
        <w:rPr>
          <w:rFonts w:ascii="Calibri" w:eastAsia="Calibri" w:hAnsi="Calibri" w:cs="Calibri"/>
          <w:b/>
          <w:bCs/>
          <w:sz w:val="26"/>
          <w:szCs w:val="26"/>
          <w:lang w:eastAsia="en-US" w:bidi="ar-SA"/>
        </w:rPr>
      </w:pPr>
    </w:p>
    <w:p w14:paraId="7D17FEAA" w14:textId="77777777" w:rsidR="0040061A" w:rsidRPr="00C020B8" w:rsidRDefault="0040061A" w:rsidP="0040061A">
      <w:pPr>
        <w:keepNext/>
        <w:keepLines/>
        <w:widowControl/>
        <w:autoSpaceDE/>
        <w:autoSpaceDN/>
        <w:jc w:val="both"/>
        <w:outlineLvl w:val="1"/>
        <w:rPr>
          <w:rFonts w:ascii="Calibri" w:eastAsia="Times New Roman" w:hAnsi="Calibri" w:cs="Times New Roman"/>
          <w:b/>
          <w:bCs/>
          <w:sz w:val="28"/>
          <w:szCs w:val="26"/>
          <w:lang w:eastAsia="en-US" w:bidi="ar-SA"/>
        </w:rPr>
      </w:pPr>
      <w:bookmarkStart w:id="5" w:name="_Toc450636985"/>
      <w:r w:rsidRPr="00C020B8">
        <w:rPr>
          <w:rFonts w:ascii="Calibri" w:eastAsia="Times New Roman" w:hAnsi="Calibri" w:cs="Times New Roman"/>
          <w:b/>
          <w:bCs/>
          <w:sz w:val="28"/>
          <w:szCs w:val="26"/>
          <w:lang w:eastAsia="en-US" w:bidi="ar-SA"/>
        </w:rPr>
        <w:t>Guidance for the Assessment and Verification of Competence</w:t>
      </w:r>
      <w:bookmarkEnd w:id="5"/>
    </w:p>
    <w:p w14:paraId="1C91B852" w14:textId="77777777" w:rsidR="0040061A" w:rsidRPr="00C020B8" w:rsidRDefault="0040061A" w:rsidP="0040061A">
      <w:pPr>
        <w:widowControl/>
        <w:adjustRightInd w:val="0"/>
        <w:jc w:val="both"/>
        <w:rPr>
          <w:rFonts w:ascii="Calibri" w:eastAsia="Calibri" w:hAnsi="Calibri" w:cs="Calibri"/>
          <w:szCs w:val="24"/>
          <w:lang w:eastAsia="en-US" w:bidi="ar-SA"/>
        </w:rPr>
      </w:pPr>
    </w:p>
    <w:p w14:paraId="3BDB3690" w14:textId="5D270D58" w:rsidR="00B22A7B" w:rsidRPr="00B22A7B" w:rsidRDefault="00B22A7B" w:rsidP="00B22A7B">
      <w:pPr>
        <w:widowControl/>
        <w:numPr>
          <w:ilvl w:val="0"/>
          <w:numId w:val="44"/>
        </w:numPr>
        <w:autoSpaceDE/>
        <w:autoSpaceDN/>
        <w:adjustRightInd w:val="0"/>
        <w:spacing w:before="120" w:after="120"/>
        <w:contextualSpacing/>
        <w:jc w:val="both"/>
        <w:rPr>
          <w:rFonts w:eastAsia="Calibri"/>
          <w:szCs w:val="24"/>
          <w:lang w:eastAsia="en-US" w:bidi="ar-SA"/>
        </w:rPr>
      </w:pPr>
      <w:r w:rsidRPr="00B22A7B">
        <w:rPr>
          <w:rFonts w:eastAsia="Calibri"/>
          <w:szCs w:val="24"/>
          <w:lang w:eastAsia="en-US" w:bidi="ar-SA"/>
        </w:rPr>
        <w:t xml:space="preserve">Assessing competence must include observation of Candidates performing tasks in the workplace to a specified Standard(s).  Observations are ideally expected to be carried out by a trained Assessor wherever possible.  Where it can be shown that is not possible or practical to have a qualified Assessor in the same location as Candidates, Expert Witnesses can be used to support the assessment process by carrying out on-the-job observations on behalf of a trained Assessor. </w:t>
      </w:r>
    </w:p>
    <w:p w14:paraId="63C90AF3" w14:textId="77777777" w:rsidR="00B22A7B" w:rsidRPr="00B22A7B" w:rsidRDefault="00B22A7B" w:rsidP="00B22A7B">
      <w:pPr>
        <w:widowControl/>
        <w:autoSpaceDE/>
        <w:autoSpaceDN/>
        <w:ind w:left="720"/>
        <w:contextualSpacing/>
        <w:rPr>
          <w:rFonts w:eastAsia="Calibri"/>
          <w:szCs w:val="24"/>
          <w:lang w:eastAsia="en-US" w:bidi="ar-SA"/>
        </w:rPr>
      </w:pPr>
    </w:p>
    <w:p w14:paraId="32B607E9" w14:textId="77777777" w:rsidR="00B22A7B" w:rsidRPr="00B22A7B" w:rsidRDefault="00B22A7B" w:rsidP="00B22A7B">
      <w:pPr>
        <w:widowControl/>
        <w:numPr>
          <w:ilvl w:val="0"/>
          <w:numId w:val="44"/>
        </w:numPr>
        <w:autoSpaceDE/>
        <w:autoSpaceDN/>
        <w:adjustRightInd w:val="0"/>
        <w:spacing w:before="120" w:after="120"/>
        <w:ind w:left="357" w:hanging="357"/>
        <w:contextualSpacing/>
        <w:jc w:val="both"/>
        <w:rPr>
          <w:rFonts w:eastAsia="Calibri"/>
          <w:szCs w:val="24"/>
          <w:lang w:eastAsia="en-US" w:bidi="ar-SA"/>
        </w:rPr>
      </w:pPr>
      <w:r w:rsidRPr="00B22A7B">
        <w:rPr>
          <w:rFonts w:eastAsia="Calibri"/>
          <w:szCs w:val="24"/>
          <w:lang w:eastAsia="en-US" w:bidi="ar-SA"/>
        </w:rPr>
        <w:t xml:space="preserve">Observation of Candidates must be supported by questioning to ensure that Candidates have, and can apply, relevant knowledge and understanding for the specified Standard(s). </w:t>
      </w:r>
    </w:p>
    <w:p w14:paraId="0C5A443F" w14:textId="77777777" w:rsidR="00B22A7B" w:rsidRPr="00B22A7B" w:rsidRDefault="00B22A7B" w:rsidP="00B22A7B">
      <w:pPr>
        <w:widowControl/>
        <w:adjustRightInd w:val="0"/>
        <w:ind w:left="357"/>
        <w:contextualSpacing/>
        <w:jc w:val="both"/>
        <w:rPr>
          <w:rFonts w:eastAsia="Calibri"/>
          <w:szCs w:val="24"/>
          <w:lang w:eastAsia="en-US" w:bidi="ar-SA"/>
        </w:rPr>
      </w:pPr>
    </w:p>
    <w:p w14:paraId="7DF8ED1D" w14:textId="77777777" w:rsidR="00B22A7B" w:rsidRPr="00B22A7B" w:rsidRDefault="00B22A7B" w:rsidP="00B22A7B">
      <w:pPr>
        <w:widowControl/>
        <w:numPr>
          <w:ilvl w:val="0"/>
          <w:numId w:val="44"/>
        </w:numPr>
        <w:autoSpaceDE/>
        <w:autoSpaceDN/>
        <w:adjustRightInd w:val="0"/>
        <w:ind w:left="357" w:hanging="357"/>
        <w:contextualSpacing/>
        <w:jc w:val="both"/>
        <w:rPr>
          <w:rFonts w:eastAsia="Calibri"/>
          <w:szCs w:val="24"/>
          <w:lang w:eastAsia="en-US" w:bidi="ar-SA"/>
        </w:rPr>
      </w:pPr>
      <w:r w:rsidRPr="00B22A7B">
        <w:rPr>
          <w:rFonts w:eastAsia="Calibri"/>
          <w:szCs w:val="24"/>
          <w:lang w:eastAsia="en-US" w:bidi="ar-SA"/>
        </w:rPr>
        <w:t xml:space="preserve">Relevant workplace documents and job records can be used to support the assessment process.  Additional supporting evidence could include witness testimony from individuals who are </w:t>
      </w:r>
      <w:proofErr w:type="gramStart"/>
      <w:r w:rsidRPr="00B22A7B">
        <w:rPr>
          <w:rFonts w:eastAsia="Calibri"/>
          <w:szCs w:val="24"/>
          <w:lang w:eastAsia="en-US" w:bidi="ar-SA"/>
        </w:rPr>
        <w:t>in a position</w:t>
      </w:r>
      <w:proofErr w:type="gramEnd"/>
      <w:r w:rsidRPr="00B22A7B">
        <w:rPr>
          <w:rFonts w:eastAsia="Calibri"/>
          <w:szCs w:val="24"/>
          <w:lang w:eastAsia="en-US" w:bidi="ar-SA"/>
        </w:rPr>
        <w:t xml:space="preserve"> to provide informed feedback on the performance of Candidates.</w:t>
      </w:r>
    </w:p>
    <w:p w14:paraId="51AD75A2" w14:textId="77777777" w:rsidR="00B22A7B" w:rsidRPr="00B22A7B" w:rsidRDefault="00B22A7B" w:rsidP="00B22A7B">
      <w:pPr>
        <w:widowControl/>
        <w:adjustRightInd w:val="0"/>
        <w:jc w:val="both"/>
        <w:rPr>
          <w:rFonts w:eastAsia="Calibri"/>
          <w:szCs w:val="24"/>
          <w:lang w:eastAsia="en-US" w:bidi="ar-SA"/>
        </w:rPr>
      </w:pPr>
    </w:p>
    <w:p w14:paraId="0686AAB0" w14:textId="77777777" w:rsidR="00B22A7B" w:rsidRPr="00B22A7B" w:rsidRDefault="00B22A7B" w:rsidP="00B22A7B">
      <w:pPr>
        <w:widowControl/>
        <w:numPr>
          <w:ilvl w:val="0"/>
          <w:numId w:val="44"/>
        </w:numPr>
        <w:autoSpaceDE/>
        <w:autoSpaceDN/>
        <w:adjustRightInd w:val="0"/>
        <w:ind w:left="357" w:hanging="357"/>
        <w:contextualSpacing/>
        <w:jc w:val="both"/>
        <w:rPr>
          <w:rFonts w:eastAsia="Calibri"/>
          <w:szCs w:val="24"/>
          <w:lang w:eastAsia="en-US" w:bidi="ar-SA"/>
        </w:rPr>
      </w:pPr>
      <w:r w:rsidRPr="00B22A7B">
        <w:rPr>
          <w:rFonts w:eastAsia="Calibri"/>
          <w:szCs w:val="24"/>
          <w:lang w:eastAsia="en-US" w:bidi="ar-SA"/>
        </w:rPr>
        <w:t xml:space="preserve">Simulation must only be used when it is not practical and/or safe to obtain direct evidence of Candidates’ performance and when expressly indicated by individual Standards.  </w:t>
      </w:r>
    </w:p>
    <w:p w14:paraId="774EC573" w14:textId="77777777" w:rsidR="00B22A7B" w:rsidRPr="00B22A7B" w:rsidRDefault="00B22A7B" w:rsidP="00B22A7B">
      <w:pPr>
        <w:widowControl/>
        <w:adjustRightInd w:val="0"/>
        <w:ind w:left="357"/>
        <w:contextualSpacing/>
        <w:jc w:val="both"/>
        <w:rPr>
          <w:rFonts w:eastAsia="Calibri"/>
          <w:szCs w:val="24"/>
          <w:lang w:eastAsia="en-US" w:bidi="ar-SA"/>
        </w:rPr>
      </w:pPr>
    </w:p>
    <w:p w14:paraId="41C94477" w14:textId="243568FD" w:rsidR="00B22A7B" w:rsidRPr="00C020B8" w:rsidRDefault="00B22A7B" w:rsidP="005209A0">
      <w:pPr>
        <w:widowControl/>
        <w:numPr>
          <w:ilvl w:val="0"/>
          <w:numId w:val="44"/>
        </w:numPr>
        <w:autoSpaceDE/>
        <w:autoSpaceDN/>
        <w:adjustRightInd w:val="0"/>
        <w:ind w:left="357" w:hanging="357"/>
        <w:contextualSpacing/>
        <w:jc w:val="both"/>
        <w:rPr>
          <w:rFonts w:eastAsia="Calibri"/>
          <w:szCs w:val="24"/>
          <w:lang w:eastAsia="en-US" w:bidi="ar-SA"/>
        </w:rPr>
      </w:pPr>
      <w:r w:rsidRPr="00B22A7B">
        <w:rPr>
          <w:rFonts w:eastAsia="Calibri"/>
          <w:szCs w:val="24"/>
          <w:lang w:eastAsia="en-US" w:bidi="ar-SA"/>
        </w:rPr>
        <w:t xml:space="preserve">All assessments must be subject to a valid verification process conducted by competent Internal Verifiers.  Internal Verifiers must sample evidence across all Assessors, Candidates and assessment sites. </w:t>
      </w:r>
    </w:p>
    <w:p w14:paraId="631CD251" w14:textId="77777777" w:rsidR="00B22A7B" w:rsidRPr="00C020B8" w:rsidRDefault="00B22A7B" w:rsidP="00B22A7B">
      <w:pPr>
        <w:pStyle w:val="ListParagraph"/>
        <w:rPr>
          <w:rFonts w:eastAsia="Calibri"/>
          <w:szCs w:val="24"/>
          <w:lang w:eastAsia="en-US" w:bidi="ar-SA"/>
        </w:rPr>
      </w:pPr>
    </w:p>
    <w:p w14:paraId="769F94CF" w14:textId="77777777" w:rsidR="00B22A7B" w:rsidRPr="00B22A7B" w:rsidRDefault="00B22A7B" w:rsidP="00B22A7B">
      <w:pPr>
        <w:widowControl/>
        <w:autoSpaceDE/>
        <w:autoSpaceDN/>
        <w:adjustRightInd w:val="0"/>
        <w:ind w:left="357"/>
        <w:contextualSpacing/>
        <w:jc w:val="both"/>
        <w:rPr>
          <w:rFonts w:eastAsia="Calibri"/>
          <w:szCs w:val="24"/>
          <w:lang w:eastAsia="en-US" w:bidi="ar-SA"/>
        </w:rPr>
      </w:pPr>
    </w:p>
    <w:p w14:paraId="61545B5A" w14:textId="77777777" w:rsidR="00B22A7B" w:rsidRPr="00C020B8" w:rsidRDefault="00B22A7B" w:rsidP="00B22A7B">
      <w:pPr>
        <w:widowControl/>
        <w:numPr>
          <w:ilvl w:val="0"/>
          <w:numId w:val="44"/>
        </w:numPr>
        <w:autoSpaceDE/>
        <w:autoSpaceDN/>
        <w:adjustRightInd w:val="0"/>
        <w:ind w:left="357" w:hanging="357"/>
        <w:contextualSpacing/>
        <w:jc w:val="both"/>
        <w:rPr>
          <w:rFonts w:eastAsia="Calibri"/>
          <w:szCs w:val="24"/>
          <w:lang w:eastAsia="en-US" w:bidi="ar-SA"/>
        </w:rPr>
      </w:pPr>
      <w:r w:rsidRPr="00B22A7B">
        <w:rPr>
          <w:rFonts w:eastAsia="Calibri"/>
          <w:szCs w:val="24"/>
          <w:lang w:eastAsia="en-US" w:bidi="ar-SA"/>
        </w:rPr>
        <w:t>All Candidates must have access to fair and equitable assessment opportunities and have a right to appeal against any decision made by their Assessor.</w:t>
      </w:r>
    </w:p>
    <w:p w14:paraId="2BC2DC0C" w14:textId="77777777" w:rsidR="00B22A7B" w:rsidRPr="00C020B8" w:rsidRDefault="00B22A7B" w:rsidP="00B22A7B">
      <w:pPr>
        <w:pStyle w:val="ListParagraph"/>
        <w:rPr>
          <w:rFonts w:eastAsia="Calibri"/>
          <w:szCs w:val="24"/>
          <w:lang w:eastAsia="en-US" w:bidi="ar-SA"/>
        </w:rPr>
      </w:pPr>
    </w:p>
    <w:p w14:paraId="1B31883B" w14:textId="74540544" w:rsidR="00272767" w:rsidRPr="00C020B8" w:rsidRDefault="00B22A7B" w:rsidP="00B22A7B">
      <w:pPr>
        <w:widowControl/>
        <w:numPr>
          <w:ilvl w:val="0"/>
          <w:numId w:val="44"/>
        </w:numPr>
        <w:autoSpaceDE/>
        <w:autoSpaceDN/>
        <w:adjustRightInd w:val="0"/>
        <w:ind w:left="357" w:hanging="357"/>
        <w:contextualSpacing/>
        <w:jc w:val="both"/>
        <w:rPr>
          <w:rFonts w:eastAsia="Calibri"/>
          <w:szCs w:val="24"/>
          <w:lang w:eastAsia="en-US" w:bidi="ar-SA"/>
        </w:rPr>
      </w:pPr>
      <w:r w:rsidRPr="00C020B8">
        <w:rPr>
          <w:rFonts w:eastAsia="Calibri"/>
          <w:szCs w:val="24"/>
          <w:lang w:eastAsia="en-US" w:bidi="ar-SA"/>
        </w:rPr>
        <w:t>Robust internal quality assurance systems must be implemented to ensure that the quality of the assessment and verification processes is maintained. Where formal qualifications are to be achieved this must be in accordance with the requirements of the relevant Awarding Bodies/Audit Organisations.)</w:t>
      </w:r>
    </w:p>
    <w:p w14:paraId="70E3C623" w14:textId="77777777" w:rsidR="00B22A7B" w:rsidRPr="00C020B8" w:rsidRDefault="00B22A7B" w:rsidP="00B22A7B">
      <w:pPr>
        <w:pStyle w:val="ListParagraph"/>
        <w:rPr>
          <w:rFonts w:ascii="Calibri" w:eastAsia="Calibri" w:hAnsi="Calibri" w:cs="Calibri"/>
          <w:szCs w:val="24"/>
          <w:lang w:eastAsia="en-US" w:bidi="ar-SA"/>
        </w:rPr>
      </w:pPr>
    </w:p>
    <w:p w14:paraId="452308AA" w14:textId="77777777" w:rsidR="00B22A7B" w:rsidRPr="00C020B8" w:rsidRDefault="00B22A7B" w:rsidP="00B22A7B">
      <w:pPr>
        <w:widowControl/>
        <w:autoSpaceDE/>
        <w:autoSpaceDN/>
        <w:adjustRightInd w:val="0"/>
        <w:ind w:left="357"/>
        <w:contextualSpacing/>
        <w:jc w:val="both"/>
        <w:rPr>
          <w:rFonts w:ascii="Calibri" w:eastAsia="Calibri" w:hAnsi="Calibri" w:cs="Calibri"/>
          <w:szCs w:val="24"/>
          <w:lang w:eastAsia="en-US" w:bidi="ar-SA"/>
        </w:rPr>
      </w:pPr>
    </w:p>
    <w:p w14:paraId="39F61B32" w14:textId="77777777" w:rsidR="00BB4B6F" w:rsidRPr="00C020B8" w:rsidRDefault="00BB4B6F" w:rsidP="00BB4B6F">
      <w:pPr>
        <w:keepNext/>
        <w:keepLines/>
        <w:widowControl/>
        <w:autoSpaceDE/>
        <w:autoSpaceDN/>
        <w:outlineLvl w:val="2"/>
        <w:rPr>
          <w:rFonts w:eastAsia="MS Gothic"/>
          <w:b/>
          <w:bCs/>
          <w:sz w:val="28"/>
          <w:szCs w:val="28"/>
          <w:lang w:eastAsia="en-US" w:bidi="ar-SA"/>
        </w:rPr>
      </w:pPr>
      <w:bookmarkStart w:id="6" w:name="_Toc130825217"/>
      <w:r w:rsidRPr="00C020B8">
        <w:rPr>
          <w:rFonts w:eastAsia="MS Gothic"/>
          <w:b/>
          <w:bCs/>
          <w:sz w:val="28"/>
          <w:szCs w:val="28"/>
          <w:lang w:eastAsia="en-US" w:bidi="ar-SA"/>
        </w:rPr>
        <w:t>Assessment Process</w:t>
      </w:r>
      <w:bookmarkEnd w:id="6"/>
    </w:p>
    <w:p w14:paraId="5423DCE3" w14:textId="77777777" w:rsidR="00BB4B6F" w:rsidRPr="00C020B8" w:rsidRDefault="00BB4B6F" w:rsidP="00BB4B6F">
      <w:pPr>
        <w:widowControl/>
        <w:autoSpaceDE/>
        <w:autoSpaceDN/>
        <w:rPr>
          <w:rFonts w:eastAsia="MS Gothic"/>
          <w:b/>
          <w:bCs/>
          <w:lang w:eastAsia="en-US" w:bidi="ar-SA"/>
        </w:rPr>
      </w:pPr>
    </w:p>
    <w:p w14:paraId="7EDDDE15" w14:textId="77777777" w:rsidR="00BB4B6F" w:rsidRPr="00C020B8" w:rsidRDefault="00BB4B6F" w:rsidP="00BB4B6F">
      <w:pPr>
        <w:keepNext/>
        <w:keepLines/>
        <w:widowControl/>
        <w:autoSpaceDE/>
        <w:autoSpaceDN/>
        <w:outlineLvl w:val="1"/>
        <w:rPr>
          <w:rFonts w:eastAsia="MS Gothic"/>
          <w:b/>
          <w:bCs/>
          <w:lang w:eastAsia="en-US" w:bidi="ar-SA"/>
        </w:rPr>
      </w:pPr>
      <w:bookmarkStart w:id="7" w:name="_Toc130825218"/>
      <w:r w:rsidRPr="00C020B8">
        <w:rPr>
          <w:rFonts w:eastAsia="MS Gothic"/>
          <w:b/>
          <w:bCs/>
          <w:lang w:eastAsia="en-US" w:bidi="ar-SA"/>
        </w:rPr>
        <w:lastRenderedPageBreak/>
        <w:t>Preparation for Assessment</w:t>
      </w:r>
      <w:bookmarkEnd w:id="7"/>
    </w:p>
    <w:p w14:paraId="7C00BE85" w14:textId="77777777" w:rsidR="00B22A7B" w:rsidRPr="00C020B8" w:rsidRDefault="00B22A7B" w:rsidP="00B22A7B">
      <w:pPr>
        <w:jc w:val="both"/>
      </w:pPr>
      <w:r w:rsidRPr="00C020B8">
        <w:t xml:space="preserve">Assessors must familiarise themselves with the relevant Standards.  This will identify the skills that will need to be demonstrated, and the types of evidence that a Candidate will need to generate. </w:t>
      </w:r>
    </w:p>
    <w:p w14:paraId="5F232D66" w14:textId="77777777" w:rsidR="00BB4B6F" w:rsidRPr="00C020B8" w:rsidRDefault="00BB4B6F" w:rsidP="00BB4B6F">
      <w:pPr>
        <w:widowControl/>
        <w:autoSpaceDE/>
        <w:autoSpaceDN/>
        <w:rPr>
          <w:rFonts w:eastAsia="MS Gothic"/>
          <w:b/>
          <w:bCs/>
          <w:lang w:eastAsia="en-US" w:bidi="ar-SA"/>
        </w:rPr>
      </w:pPr>
    </w:p>
    <w:p w14:paraId="63919465" w14:textId="77777777" w:rsidR="00BB4B6F" w:rsidRPr="00C020B8" w:rsidRDefault="00BB4B6F" w:rsidP="00BB4B6F">
      <w:pPr>
        <w:keepNext/>
        <w:keepLines/>
        <w:widowControl/>
        <w:autoSpaceDE/>
        <w:autoSpaceDN/>
        <w:outlineLvl w:val="1"/>
        <w:rPr>
          <w:rFonts w:eastAsia="MS Gothic"/>
          <w:b/>
          <w:bCs/>
          <w:lang w:eastAsia="en-US" w:bidi="ar-SA"/>
        </w:rPr>
      </w:pPr>
      <w:bookmarkStart w:id="8" w:name="_Toc130825219"/>
      <w:r w:rsidRPr="00C020B8">
        <w:rPr>
          <w:rFonts w:eastAsia="MS Gothic"/>
          <w:b/>
          <w:bCs/>
          <w:lang w:eastAsia="en-US" w:bidi="ar-SA"/>
        </w:rPr>
        <w:t>Planning Assessment</w:t>
      </w:r>
      <w:bookmarkEnd w:id="8"/>
      <w:r w:rsidRPr="00C020B8">
        <w:rPr>
          <w:rFonts w:eastAsia="MS Gothic"/>
          <w:b/>
          <w:bCs/>
          <w:lang w:eastAsia="en-US" w:bidi="ar-SA"/>
        </w:rPr>
        <w:t xml:space="preserve"> </w:t>
      </w:r>
    </w:p>
    <w:p w14:paraId="283722DC" w14:textId="77777777" w:rsidR="00B22A7B" w:rsidRPr="00B22A7B" w:rsidRDefault="00B22A7B" w:rsidP="00B22A7B">
      <w:pPr>
        <w:widowControl/>
        <w:autoSpaceDE/>
        <w:autoSpaceDN/>
        <w:rPr>
          <w:rFonts w:eastAsia="Calibri"/>
          <w:lang w:eastAsia="en-US" w:bidi="ar-SA"/>
        </w:rPr>
      </w:pPr>
      <w:r w:rsidRPr="00B22A7B">
        <w:rPr>
          <w:rFonts w:eastAsia="Calibri"/>
          <w:lang w:eastAsia="en-US" w:bidi="ar-SA"/>
        </w:rPr>
        <w:t xml:space="preserve">Effective assessment planning will ensure that: </w:t>
      </w:r>
    </w:p>
    <w:p w14:paraId="664121DE" w14:textId="77777777" w:rsidR="00B22A7B" w:rsidRPr="00B22A7B" w:rsidRDefault="00B22A7B" w:rsidP="00B22A7B">
      <w:pPr>
        <w:widowControl/>
        <w:numPr>
          <w:ilvl w:val="0"/>
          <w:numId w:val="16"/>
        </w:numPr>
        <w:autoSpaceDE/>
        <w:autoSpaceDN/>
        <w:rPr>
          <w:rFonts w:eastAsia="Calibri"/>
          <w:lang w:eastAsia="en-US" w:bidi="ar-SA"/>
        </w:rPr>
      </w:pPr>
      <w:r w:rsidRPr="00B22A7B">
        <w:rPr>
          <w:rFonts w:eastAsia="Calibri"/>
          <w:lang w:eastAsia="en-US" w:bidi="ar-SA"/>
        </w:rPr>
        <w:t>Candidates understand what is to be assessed and how it is to be assessed</w:t>
      </w:r>
    </w:p>
    <w:p w14:paraId="6BBD3A95" w14:textId="77777777" w:rsidR="00B22A7B" w:rsidRPr="00B22A7B" w:rsidRDefault="00B22A7B" w:rsidP="00B22A7B">
      <w:pPr>
        <w:widowControl/>
        <w:numPr>
          <w:ilvl w:val="0"/>
          <w:numId w:val="16"/>
        </w:numPr>
        <w:autoSpaceDE/>
        <w:autoSpaceDN/>
        <w:rPr>
          <w:rFonts w:eastAsia="Calibri"/>
          <w:lang w:eastAsia="en-US" w:bidi="ar-SA"/>
        </w:rPr>
      </w:pPr>
      <w:r w:rsidRPr="00B22A7B">
        <w:rPr>
          <w:rFonts w:eastAsia="Calibri"/>
          <w:lang w:eastAsia="en-US" w:bidi="ar-SA"/>
        </w:rPr>
        <w:t>relevant sources of evidence can be discussed with Candidates</w:t>
      </w:r>
    </w:p>
    <w:p w14:paraId="557D4669" w14:textId="77777777" w:rsidR="00B22A7B" w:rsidRPr="00B22A7B" w:rsidRDefault="00B22A7B" w:rsidP="00B22A7B">
      <w:pPr>
        <w:widowControl/>
        <w:numPr>
          <w:ilvl w:val="0"/>
          <w:numId w:val="16"/>
        </w:numPr>
        <w:autoSpaceDE/>
        <w:autoSpaceDN/>
        <w:rPr>
          <w:rFonts w:eastAsia="Calibri"/>
          <w:lang w:eastAsia="en-US" w:bidi="ar-SA"/>
        </w:rPr>
      </w:pPr>
      <w:r w:rsidRPr="00B22A7B">
        <w:rPr>
          <w:rFonts w:eastAsia="Calibri"/>
          <w:lang w:eastAsia="en-US" w:bidi="ar-SA"/>
        </w:rPr>
        <w:t xml:space="preserve">assessment processes can be linked to Candidates’ work patterns and naturally occurring opportunities to generate evidence </w:t>
      </w:r>
    </w:p>
    <w:p w14:paraId="420313B8" w14:textId="77777777" w:rsidR="00B22A7B" w:rsidRPr="00B22A7B" w:rsidRDefault="00B22A7B" w:rsidP="00B22A7B">
      <w:pPr>
        <w:widowControl/>
        <w:numPr>
          <w:ilvl w:val="0"/>
          <w:numId w:val="16"/>
        </w:numPr>
        <w:autoSpaceDE/>
        <w:autoSpaceDN/>
        <w:rPr>
          <w:rFonts w:eastAsia="Calibri"/>
          <w:lang w:eastAsia="en-US" w:bidi="ar-SA"/>
        </w:rPr>
      </w:pPr>
      <w:r w:rsidRPr="00B22A7B">
        <w:rPr>
          <w:rFonts w:eastAsia="Calibri"/>
          <w:lang w:eastAsia="en-US" w:bidi="ar-SA"/>
        </w:rPr>
        <w:t>sufficient time is available to collect documentary evidence, including product evidence and witness testimonies</w:t>
      </w:r>
    </w:p>
    <w:p w14:paraId="0B185110" w14:textId="77777777" w:rsidR="00B22A7B" w:rsidRPr="00B22A7B" w:rsidRDefault="00B22A7B" w:rsidP="00B22A7B">
      <w:pPr>
        <w:widowControl/>
        <w:numPr>
          <w:ilvl w:val="0"/>
          <w:numId w:val="16"/>
        </w:numPr>
        <w:autoSpaceDE/>
        <w:autoSpaceDN/>
        <w:rPr>
          <w:rFonts w:eastAsia="Calibri"/>
          <w:lang w:eastAsia="en-US" w:bidi="ar-SA"/>
        </w:rPr>
      </w:pPr>
      <w:r w:rsidRPr="00B22A7B">
        <w:rPr>
          <w:rFonts w:eastAsia="Calibri"/>
          <w:lang w:eastAsia="en-US" w:bidi="ar-SA"/>
        </w:rPr>
        <w:t>observations can be planned around work plans, shift patterns, etc</w:t>
      </w:r>
    </w:p>
    <w:p w14:paraId="3EEA96C6" w14:textId="77777777" w:rsidR="00B22A7B" w:rsidRPr="00B22A7B" w:rsidRDefault="00B22A7B" w:rsidP="00B22A7B">
      <w:pPr>
        <w:widowControl/>
        <w:numPr>
          <w:ilvl w:val="0"/>
          <w:numId w:val="16"/>
        </w:numPr>
        <w:autoSpaceDE/>
        <w:autoSpaceDN/>
        <w:rPr>
          <w:rFonts w:eastAsia="Calibri"/>
          <w:lang w:eastAsia="en-US" w:bidi="ar-SA"/>
        </w:rPr>
      </w:pPr>
      <w:r w:rsidRPr="00B22A7B">
        <w:rPr>
          <w:rFonts w:eastAsia="Calibri"/>
          <w:lang w:eastAsia="en-US" w:bidi="ar-SA"/>
        </w:rPr>
        <w:t>the use of Expert Witnesses to carry out observations, if required, can be planned and appropriate approvals sought (see page 18 for more guidance)</w:t>
      </w:r>
    </w:p>
    <w:p w14:paraId="179BC31A" w14:textId="7E0A3253" w:rsidR="00BB4B6F" w:rsidRPr="00C020B8" w:rsidRDefault="00B22A7B" w:rsidP="00B22A7B">
      <w:pPr>
        <w:widowControl/>
        <w:autoSpaceDE/>
        <w:autoSpaceDN/>
        <w:rPr>
          <w:rFonts w:eastAsia="Calibri"/>
          <w:lang w:eastAsia="en-US" w:bidi="ar-SA"/>
        </w:rPr>
      </w:pPr>
      <w:r w:rsidRPr="00C020B8">
        <w:rPr>
          <w:rFonts w:eastAsia="Calibri"/>
          <w:lang w:eastAsia="en-US" w:bidi="ar-SA"/>
        </w:rPr>
        <w:t xml:space="preserve">alternative arrangements for evidence for infrequently occurring activities or activities that cannot be readily generated in the workplace can be </w:t>
      </w:r>
      <w:proofErr w:type="gramStart"/>
      <w:r w:rsidRPr="00C020B8">
        <w:rPr>
          <w:rFonts w:eastAsia="Calibri"/>
          <w:lang w:eastAsia="en-US" w:bidi="ar-SA"/>
        </w:rPr>
        <w:t>planned  and</w:t>
      </w:r>
      <w:proofErr w:type="gramEnd"/>
      <w:r w:rsidRPr="00C020B8">
        <w:rPr>
          <w:rFonts w:eastAsia="Calibri"/>
          <w:lang w:eastAsia="en-US" w:bidi="ar-SA"/>
        </w:rPr>
        <w:t xml:space="preserve"> appropriate approvals sought if required, for example, for the use of simulation </w:t>
      </w:r>
    </w:p>
    <w:p w14:paraId="03177B80" w14:textId="77777777" w:rsidR="00B22A7B" w:rsidRPr="00C020B8" w:rsidRDefault="00B22A7B" w:rsidP="00B22A7B">
      <w:pPr>
        <w:widowControl/>
        <w:autoSpaceDE/>
        <w:autoSpaceDN/>
        <w:rPr>
          <w:rFonts w:eastAsia="Calibri"/>
          <w:lang w:eastAsia="en-US" w:bidi="ar-SA"/>
        </w:rPr>
      </w:pPr>
    </w:p>
    <w:p w14:paraId="7707B726" w14:textId="77777777" w:rsidR="00B22A7B" w:rsidRPr="00C020B8" w:rsidRDefault="00B22A7B" w:rsidP="00B22A7B">
      <w:pPr>
        <w:widowControl/>
        <w:autoSpaceDE/>
        <w:autoSpaceDN/>
        <w:rPr>
          <w:rFonts w:eastAsia="Calibri"/>
          <w:lang w:eastAsia="en-US" w:bidi="ar-SA"/>
        </w:rPr>
      </w:pPr>
    </w:p>
    <w:p w14:paraId="4D986FC5" w14:textId="77777777"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Assessment planning can be carried out in </w:t>
      </w:r>
      <w:proofErr w:type="gramStart"/>
      <w:r w:rsidRPr="00C020B8">
        <w:rPr>
          <w:rFonts w:eastAsia="Calibri"/>
          <w:lang w:eastAsia="en-US" w:bidi="ar-SA"/>
        </w:rPr>
        <w:t>a number of</w:t>
      </w:r>
      <w:proofErr w:type="gramEnd"/>
      <w:r w:rsidRPr="00C020B8">
        <w:rPr>
          <w:rFonts w:eastAsia="Calibri"/>
          <w:lang w:eastAsia="en-US" w:bidi="ar-SA"/>
        </w:rPr>
        <w:t xml:space="preserve"> ways, (for example - verbally, via email or in an Assessment Plan form). The outcome should be that both the parties agree on what will be assessed, the assessments methods used and when the assessment will be carried out.</w:t>
      </w:r>
    </w:p>
    <w:p w14:paraId="6C04C2AA" w14:textId="77777777" w:rsidR="00BB4B6F" w:rsidRPr="00C020B8" w:rsidRDefault="00BB4B6F" w:rsidP="00BB4B6F">
      <w:pPr>
        <w:widowControl/>
        <w:autoSpaceDE/>
        <w:autoSpaceDN/>
        <w:rPr>
          <w:rFonts w:eastAsia="Calibri"/>
          <w:lang w:eastAsia="en-US" w:bidi="ar-SA"/>
        </w:rPr>
      </w:pPr>
    </w:p>
    <w:p w14:paraId="0DACD565" w14:textId="77777777" w:rsidR="00BB4B6F" w:rsidRPr="00C020B8" w:rsidRDefault="00BB4B6F" w:rsidP="00BB4B6F">
      <w:pPr>
        <w:keepNext/>
        <w:keepLines/>
        <w:widowControl/>
        <w:autoSpaceDE/>
        <w:autoSpaceDN/>
        <w:outlineLvl w:val="1"/>
        <w:rPr>
          <w:rFonts w:eastAsia="MS Gothic"/>
          <w:b/>
          <w:bCs/>
          <w:lang w:eastAsia="en-US" w:bidi="ar-SA"/>
        </w:rPr>
      </w:pPr>
      <w:bookmarkStart w:id="9" w:name="_Toc130825220"/>
      <w:r w:rsidRPr="00C020B8">
        <w:rPr>
          <w:rFonts w:eastAsia="MS Gothic"/>
          <w:b/>
          <w:bCs/>
          <w:lang w:eastAsia="en-US" w:bidi="ar-SA"/>
        </w:rPr>
        <w:t>Carrying Out Assessment</w:t>
      </w:r>
      <w:bookmarkEnd w:id="9"/>
    </w:p>
    <w:p w14:paraId="3A832AE1" w14:textId="5CF37004"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The key aspect of assessment is to determine whether suitable and sufficient performance and knowledge evidence is available to meet the prescribed requirements, </w:t>
      </w:r>
      <w:proofErr w:type="gramStart"/>
      <w:r w:rsidRPr="00C020B8">
        <w:rPr>
          <w:rFonts w:eastAsia="Calibri"/>
          <w:lang w:eastAsia="en-US" w:bidi="ar-SA"/>
        </w:rPr>
        <w:t>in order to</w:t>
      </w:r>
      <w:proofErr w:type="gramEnd"/>
      <w:r w:rsidRPr="00C020B8">
        <w:rPr>
          <w:rFonts w:eastAsia="Calibri"/>
          <w:lang w:eastAsia="en-US" w:bidi="ar-SA"/>
        </w:rPr>
        <w:t xml:space="preserve"> demonstrate competence against the Standards. The Assessor shall review and assess the </w:t>
      </w:r>
      <w:r w:rsidR="00CE36B9" w:rsidRPr="00C020B8">
        <w:rPr>
          <w:rFonts w:eastAsia="Calibri"/>
          <w:lang w:eastAsia="en-US" w:bidi="ar-SA"/>
        </w:rPr>
        <w:t>Candidate</w:t>
      </w:r>
      <w:r w:rsidRPr="00C020B8">
        <w:rPr>
          <w:rFonts w:eastAsia="Calibri"/>
          <w:lang w:eastAsia="en-US" w:bidi="ar-SA"/>
        </w:rPr>
        <w:t xml:space="preserve"> using a range of Assessment Methods.</w:t>
      </w:r>
    </w:p>
    <w:p w14:paraId="5510D380" w14:textId="77777777" w:rsidR="00BB4B6F" w:rsidRPr="00C020B8" w:rsidRDefault="00BB4B6F" w:rsidP="00BB4B6F">
      <w:pPr>
        <w:widowControl/>
        <w:autoSpaceDE/>
        <w:autoSpaceDN/>
        <w:rPr>
          <w:rFonts w:eastAsia="Calibri"/>
          <w:lang w:eastAsia="en-US" w:bidi="ar-SA"/>
        </w:rPr>
      </w:pPr>
    </w:p>
    <w:p w14:paraId="018EC692" w14:textId="77777777" w:rsidR="00BB4B6F" w:rsidRPr="00C020B8" w:rsidRDefault="00BB4B6F" w:rsidP="00BB4B6F">
      <w:pPr>
        <w:keepNext/>
        <w:keepLines/>
        <w:widowControl/>
        <w:autoSpaceDE/>
        <w:autoSpaceDN/>
        <w:jc w:val="both"/>
        <w:outlineLvl w:val="2"/>
        <w:rPr>
          <w:rFonts w:eastAsia="Times New Roman"/>
          <w:b/>
          <w:bCs/>
          <w:lang w:bidi="ar-SA"/>
        </w:rPr>
      </w:pPr>
      <w:r w:rsidRPr="00C020B8">
        <w:rPr>
          <w:rFonts w:eastAsia="Times New Roman"/>
          <w:b/>
          <w:bCs/>
          <w:lang w:bidi="ar-SA"/>
        </w:rPr>
        <w:t xml:space="preserve">Integration of Assessment </w:t>
      </w:r>
    </w:p>
    <w:p w14:paraId="42CC45E6" w14:textId="77777777" w:rsidR="007F02CD" w:rsidRPr="007F02CD" w:rsidRDefault="007F02CD" w:rsidP="007F02CD">
      <w:pPr>
        <w:widowControl/>
        <w:autoSpaceDE/>
        <w:autoSpaceDN/>
        <w:rPr>
          <w:rFonts w:eastAsia="Times New Roman"/>
          <w:lang w:bidi="ar-SA"/>
        </w:rPr>
      </w:pPr>
      <w:r w:rsidRPr="007F02CD">
        <w:rPr>
          <w:rFonts w:eastAsia="Times New Roman"/>
          <w:lang w:bidi="ar-SA"/>
        </w:rPr>
        <w:t>Wherever possible opportunities for integrating assessments should be identified.  For example:</w:t>
      </w:r>
    </w:p>
    <w:p w14:paraId="31A25761" w14:textId="77777777" w:rsidR="007F02CD" w:rsidRPr="007F02CD" w:rsidRDefault="007F02CD" w:rsidP="007F02CD">
      <w:pPr>
        <w:widowControl/>
        <w:numPr>
          <w:ilvl w:val="0"/>
          <w:numId w:val="15"/>
        </w:numPr>
        <w:autoSpaceDE/>
        <w:autoSpaceDN/>
        <w:rPr>
          <w:rFonts w:eastAsia="Times New Roman"/>
          <w:lang w:bidi="ar-SA"/>
        </w:rPr>
      </w:pPr>
      <w:r w:rsidRPr="007F02CD">
        <w:rPr>
          <w:rFonts w:eastAsia="Times New Roman"/>
          <w:lang w:bidi="ar-SA"/>
        </w:rPr>
        <w:t>it may be possible to assess more than one Standard during an Assessment</w:t>
      </w:r>
    </w:p>
    <w:p w14:paraId="3BFF0160" w14:textId="77777777" w:rsidR="007F02CD" w:rsidRPr="00C020B8" w:rsidRDefault="007F02CD" w:rsidP="007F02CD">
      <w:pPr>
        <w:widowControl/>
        <w:numPr>
          <w:ilvl w:val="0"/>
          <w:numId w:val="15"/>
        </w:numPr>
        <w:autoSpaceDE/>
        <w:autoSpaceDN/>
        <w:rPr>
          <w:rFonts w:eastAsia="Times New Roman"/>
          <w:lang w:bidi="ar-SA"/>
        </w:rPr>
      </w:pPr>
      <w:r w:rsidRPr="007F02CD">
        <w:rPr>
          <w:rFonts w:eastAsia="Times New Roman"/>
          <w:lang w:bidi="ar-SA"/>
        </w:rPr>
        <w:t xml:space="preserve">it is often appropriate to assess knowledge during observations </w:t>
      </w:r>
    </w:p>
    <w:p w14:paraId="5BE08F20" w14:textId="0BF9D12E" w:rsidR="00BB4B6F" w:rsidRPr="00C020B8" w:rsidRDefault="007F02CD" w:rsidP="007F02CD">
      <w:pPr>
        <w:widowControl/>
        <w:numPr>
          <w:ilvl w:val="0"/>
          <w:numId w:val="15"/>
        </w:numPr>
        <w:autoSpaceDE/>
        <w:autoSpaceDN/>
        <w:rPr>
          <w:rFonts w:eastAsia="Times New Roman"/>
          <w:lang w:bidi="ar-SA"/>
        </w:rPr>
      </w:pPr>
      <w:r w:rsidRPr="00C020B8">
        <w:rPr>
          <w:rFonts w:eastAsia="Times New Roman"/>
          <w:lang w:bidi="ar-SA"/>
        </w:rPr>
        <w:t xml:space="preserve">knowledge can often appear in more than one Standard within the same discipline area – </w:t>
      </w:r>
      <w:proofErr w:type="gramStart"/>
      <w:r w:rsidRPr="00C020B8">
        <w:rPr>
          <w:rFonts w:eastAsia="Times New Roman"/>
          <w:lang w:bidi="ar-SA"/>
        </w:rPr>
        <w:t>this needs</w:t>
      </w:r>
      <w:proofErr w:type="gramEnd"/>
      <w:r w:rsidRPr="00C020B8">
        <w:rPr>
          <w:rFonts w:eastAsia="Times New Roman"/>
          <w:lang w:bidi="ar-SA"/>
        </w:rPr>
        <w:t xml:space="preserve"> only to be assessed on one occasion.</w:t>
      </w:r>
    </w:p>
    <w:p w14:paraId="50DF9B29" w14:textId="77777777" w:rsidR="00BB4B6F" w:rsidRPr="00C020B8" w:rsidRDefault="00BB4B6F" w:rsidP="00BB4B6F">
      <w:pPr>
        <w:widowControl/>
        <w:autoSpaceDE/>
        <w:autoSpaceDN/>
        <w:rPr>
          <w:rFonts w:eastAsia="Calibri"/>
          <w:lang w:eastAsia="en-US" w:bidi="ar-SA"/>
        </w:rPr>
      </w:pPr>
    </w:p>
    <w:p w14:paraId="2D505A3F" w14:textId="69A5415C" w:rsidR="00BB4B6F" w:rsidRPr="00C020B8" w:rsidRDefault="007F02CD" w:rsidP="00BB4B6F">
      <w:pPr>
        <w:keepNext/>
        <w:keepLines/>
        <w:widowControl/>
        <w:autoSpaceDE/>
        <w:autoSpaceDN/>
        <w:outlineLvl w:val="1"/>
        <w:rPr>
          <w:rFonts w:eastAsia="MS Gothic"/>
          <w:b/>
          <w:bCs/>
          <w:lang w:eastAsia="en-US" w:bidi="ar-SA"/>
        </w:rPr>
      </w:pPr>
      <w:bookmarkStart w:id="10" w:name="_Toc130825221"/>
      <w:r w:rsidRPr="00C020B8">
        <w:rPr>
          <w:rFonts w:eastAsia="MS Gothic"/>
          <w:b/>
          <w:bCs/>
          <w:lang w:eastAsia="en-US" w:bidi="ar-SA"/>
        </w:rPr>
        <w:t>Judging</w:t>
      </w:r>
      <w:r w:rsidR="00BB4B6F" w:rsidRPr="00C020B8">
        <w:rPr>
          <w:rFonts w:eastAsia="MS Gothic"/>
          <w:b/>
          <w:bCs/>
          <w:lang w:eastAsia="en-US" w:bidi="ar-SA"/>
        </w:rPr>
        <w:t xml:space="preserve"> Evidence</w:t>
      </w:r>
      <w:bookmarkEnd w:id="10"/>
      <w:r w:rsidR="00BB4B6F" w:rsidRPr="00C020B8">
        <w:rPr>
          <w:rFonts w:eastAsia="MS Gothic"/>
          <w:b/>
          <w:bCs/>
          <w:lang w:eastAsia="en-US" w:bidi="ar-SA"/>
        </w:rPr>
        <w:t xml:space="preserve"> </w:t>
      </w:r>
    </w:p>
    <w:p w14:paraId="09BC38E3" w14:textId="77777777" w:rsidR="007F02CD" w:rsidRPr="00C020B8" w:rsidRDefault="007F02CD" w:rsidP="007F02CD">
      <w:pPr>
        <w:adjustRightInd w:val="0"/>
        <w:rPr>
          <w:rFonts w:eastAsia="Times New Roman"/>
          <w:lang w:bidi="ar-SA"/>
        </w:rPr>
      </w:pPr>
      <w:r w:rsidRPr="00C020B8">
        <w:rPr>
          <w:rFonts w:eastAsia="Times New Roman"/>
          <w:lang w:bidi="ar-SA"/>
        </w:rPr>
        <w:t xml:space="preserve">Evidence should cover the performance criteria, scope and knowledge required for the Standards as defined on the evidence requirements. </w:t>
      </w:r>
    </w:p>
    <w:p w14:paraId="14DF1184" w14:textId="77777777" w:rsidR="007F02CD" w:rsidRPr="00C020B8" w:rsidRDefault="007F02CD" w:rsidP="007F02CD">
      <w:pPr>
        <w:adjustRightInd w:val="0"/>
        <w:rPr>
          <w:rFonts w:eastAsia="Times New Roman"/>
          <w:lang w:bidi="ar-SA"/>
        </w:rPr>
      </w:pPr>
    </w:p>
    <w:p w14:paraId="4CAFBF82" w14:textId="77777777" w:rsidR="007F02CD" w:rsidRPr="00C020B8" w:rsidRDefault="007F02CD" w:rsidP="007F02CD">
      <w:pPr>
        <w:adjustRightInd w:val="0"/>
        <w:rPr>
          <w:rFonts w:eastAsia="Times New Roman"/>
          <w:lang w:bidi="ar-SA"/>
        </w:rPr>
      </w:pPr>
      <w:r w:rsidRPr="00C020B8">
        <w:rPr>
          <w:rFonts w:eastAsia="Times New Roman"/>
          <w:lang w:bidi="ar-SA"/>
        </w:rPr>
        <w:t>Considerations when judging Candidates’ evidence include:</w:t>
      </w:r>
    </w:p>
    <w:p w14:paraId="0D52ADCE" w14:textId="77777777" w:rsidR="007F02CD" w:rsidRPr="00C020B8" w:rsidRDefault="007F02CD" w:rsidP="007F02CD">
      <w:pPr>
        <w:pStyle w:val="ListParagraph"/>
        <w:widowControl/>
        <w:numPr>
          <w:ilvl w:val="0"/>
          <w:numId w:val="14"/>
        </w:numPr>
        <w:adjustRightInd w:val="0"/>
        <w:contextualSpacing/>
        <w:rPr>
          <w:rFonts w:eastAsia="Times New Roman"/>
          <w:lang w:bidi="ar-SA"/>
        </w:rPr>
      </w:pPr>
      <w:r w:rsidRPr="00C020B8">
        <w:rPr>
          <w:rFonts w:eastAsia="Times New Roman"/>
          <w:lang w:bidi="ar-SA"/>
        </w:rPr>
        <w:t xml:space="preserve">is there sufficient evidence or are there any gaps in the evidence </w:t>
      </w:r>
    </w:p>
    <w:p w14:paraId="37E26791" w14:textId="77777777" w:rsidR="007F02CD" w:rsidRPr="00C020B8" w:rsidRDefault="007F02CD" w:rsidP="007F02CD">
      <w:pPr>
        <w:pStyle w:val="ListParagraph"/>
        <w:widowControl/>
        <w:numPr>
          <w:ilvl w:val="0"/>
          <w:numId w:val="14"/>
        </w:numPr>
        <w:adjustRightInd w:val="0"/>
        <w:contextualSpacing/>
        <w:rPr>
          <w:rFonts w:eastAsia="Times New Roman"/>
          <w:lang w:bidi="ar-SA"/>
        </w:rPr>
      </w:pPr>
      <w:r w:rsidRPr="00C020B8">
        <w:rPr>
          <w:rFonts w:eastAsia="Times New Roman"/>
          <w:lang w:bidi="ar-SA"/>
        </w:rPr>
        <w:t>is the evidence relevant, valid and reliable</w:t>
      </w:r>
    </w:p>
    <w:p w14:paraId="03ABF434" w14:textId="77777777" w:rsidR="007F02CD" w:rsidRPr="00C020B8" w:rsidRDefault="007F02CD" w:rsidP="007F02CD">
      <w:pPr>
        <w:pStyle w:val="ListParagraph"/>
        <w:widowControl/>
        <w:numPr>
          <w:ilvl w:val="0"/>
          <w:numId w:val="14"/>
        </w:numPr>
        <w:adjustRightInd w:val="0"/>
        <w:contextualSpacing/>
        <w:rPr>
          <w:rFonts w:eastAsia="Times New Roman"/>
          <w:lang w:bidi="ar-SA"/>
        </w:rPr>
      </w:pPr>
      <w:r w:rsidRPr="00C020B8">
        <w:rPr>
          <w:rFonts w:eastAsia="Times New Roman"/>
          <w:lang w:bidi="ar-SA"/>
        </w:rPr>
        <w:t xml:space="preserve">is the evidence current – the general guidance is that evidence should be less than 2 years old but </w:t>
      </w:r>
      <w:proofErr w:type="gramStart"/>
      <w:r w:rsidRPr="00C020B8">
        <w:rPr>
          <w:rFonts w:eastAsia="Times New Roman"/>
          <w:lang w:bidi="ar-SA"/>
        </w:rPr>
        <w:t>there</w:t>
      </w:r>
      <w:proofErr w:type="gramEnd"/>
      <w:r w:rsidRPr="00C020B8">
        <w:rPr>
          <w:rFonts w:eastAsia="Times New Roman"/>
          <w:lang w:bidi="ar-SA"/>
        </w:rPr>
        <w:t xml:space="preserve"> can be exceptions</w:t>
      </w:r>
    </w:p>
    <w:p w14:paraId="76C43026" w14:textId="77777777" w:rsidR="007F02CD" w:rsidRPr="00C020B8" w:rsidRDefault="007F02CD" w:rsidP="007F02CD">
      <w:pPr>
        <w:pStyle w:val="ListParagraph"/>
        <w:widowControl/>
        <w:numPr>
          <w:ilvl w:val="0"/>
          <w:numId w:val="14"/>
        </w:numPr>
        <w:adjustRightInd w:val="0"/>
        <w:contextualSpacing/>
        <w:rPr>
          <w:rFonts w:eastAsia="Times New Roman"/>
          <w:lang w:bidi="ar-SA"/>
        </w:rPr>
      </w:pPr>
      <w:r w:rsidRPr="00C020B8">
        <w:rPr>
          <w:rFonts w:eastAsia="Times New Roman"/>
          <w:lang w:bidi="ar-SA"/>
        </w:rPr>
        <w:t xml:space="preserve">can the evidence be attributed to the Candidate and or is further authentication required – for example, this may require additional questioning of the Candidate and/or </w:t>
      </w:r>
      <w:proofErr w:type="gramStart"/>
      <w:r w:rsidRPr="00C020B8">
        <w:rPr>
          <w:rFonts w:eastAsia="Times New Roman"/>
          <w:lang w:bidi="ar-SA"/>
        </w:rPr>
        <w:t>counter-signatures</w:t>
      </w:r>
      <w:proofErr w:type="gramEnd"/>
      <w:r w:rsidRPr="00C020B8">
        <w:rPr>
          <w:rFonts w:eastAsia="Times New Roman"/>
          <w:lang w:bidi="ar-SA"/>
        </w:rPr>
        <w:t xml:space="preserve"> from witnesses.</w:t>
      </w:r>
    </w:p>
    <w:p w14:paraId="71804BCE" w14:textId="16E335CD" w:rsidR="00BB4B6F" w:rsidRPr="00C020B8" w:rsidRDefault="00BB4B6F" w:rsidP="007F02CD">
      <w:pPr>
        <w:widowControl/>
        <w:autoSpaceDE/>
        <w:autoSpaceDN/>
        <w:adjustRightInd w:val="0"/>
        <w:ind w:left="360"/>
        <w:contextualSpacing/>
        <w:rPr>
          <w:rFonts w:eastAsia="Calibri"/>
          <w:lang w:eastAsia="en-US" w:bidi="ar-SA"/>
        </w:rPr>
      </w:pPr>
    </w:p>
    <w:p w14:paraId="61E90E27" w14:textId="77777777" w:rsidR="00BB4B6F" w:rsidRPr="00C020B8" w:rsidRDefault="00BB4B6F" w:rsidP="00BB4B6F">
      <w:pPr>
        <w:keepNext/>
        <w:keepLines/>
        <w:widowControl/>
        <w:autoSpaceDE/>
        <w:autoSpaceDN/>
        <w:outlineLvl w:val="1"/>
        <w:rPr>
          <w:rFonts w:eastAsia="MS Gothic"/>
          <w:b/>
          <w:bCs/>
          <w:lang w:eastAsia="en-US" w:bidi="ar-SA"/>
        </w:rPr>
      </w:pPr>
      <w:bookmarkStart w:id="11" w:name="_Toc130825222"/>
      <w:r w:rsidRPr="00C020B8">
        <w:rPr>
          <w:rFonts w:eastAsia="MS Gothic"/>
          <w:b/>
          <w:bCs/>
          <w:lang w:eastAsia="en-US" w:bidi="ar-SA"/>
        </w:rPr>
        <w:lastRenderedPageBreak/>
        <w:t>Assessment Decisions</w:t>
      </w:r>
      <w:bookmarkEnd w:id="11"/>
    </w:p>
    <w:p w14:paraId="44D0D2CC" w14:textId="337AFEEF"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Assessment decisions must be fair and based upon the evidence available and against the </w:t>
      </w:r>
      <w:bookmarkStart w:id="12" w:name="_Hlk138157568"/>
      <w:bookmarkStart w:id="13" w:name="_Hlk161322562"/>
      <w:r w:rsidRPr="00C020B8">
        <w:rPr>
          <w:rFonts w:eastAsia="Calibri"/>
          <w:lang w:eastAsia="en-US" w:bidi="ar-SA"/>
        </w:rPr>
        <w:t>Standard(s)</w:t>
      </w:r>
      <w:bookmarkEnd w:id="12"/>
      <w:bookmarkEnd w:id="13"/>
      <w:r w:rsidRPr="00C020B8">
        <w:rPr>
          <w:rFonts w:eastAsia="Calibri"/>
          <w:lang w:eastAsia="en-US" w:bidi="ar-SA"/>
        </w:rPr>
        <w:t xml:space="preserve">. If sufficient evidence is not </w:t>
      </w:r>
      <w:proofErr w:type="gramStart"/>
      <w:r w:rsidRPr="00C020B8">
        <w:rPr>
          <w:rFonts w:eastAsia="Calibri"/>
          <w:lang w:eastAsia="en-US" w:bidi="ar-SA"/>
        </w:rPr>
        <w:t>available</w:t>
      </w:r>
      <w:proofErr w:type="gramEnd"/>
      <w:r w:rsidRPr="00C020B8">
        <w:rPr>
          <w:rFonts w:eastAsia="Calibri"/>
          <w:lang w:eastAsia="en-US" w:bidi="ar-SA"/>
        </w:rPr>
        <w:t xml:space="preserve"> then a decision of competent cannot be made irrespective of what the Assessor may believe about the competence level of the </w:t>
      </w:r>
      <w:r w:rsidR="00CE36B9" w:rsidRPr="00C020B8">
        <w:rPr>
          <w:rFonts w:eastAsia="Calibri"/>
          <w:lang w:eastAsia="en-US" w:bidi="ar-SA"/>
        </w:rPr>
        <w:t>Candidate</w:t>
      </w:r>
      <w:r w:rsidRPr="00C020B8">
        <w:rPr>
          <w:rFonts w:eastAsia="Calibri"/>
          <w:lang w:eastAsia="en-US" w:bidi="ar-SA"/>
        </w:rPr>
        <w:t>.</w:t>
      </w:r>
    </w:p>
    <w:p w14:paraId="1A33B3C7" w14:textId="77777777" w:rsidR="00BB4B6F" w:rsidRPr="00C020B8" w:rsidRDefault="00BB4B6F" w:rsidP="00BB4B6F">
      <w:pPr>
        <w:widowControl/>
        <w:autoSpaceDE/>
        <w:autoSpaceDN/>
        <w:rPr>
          <w:rFonts w:eastAsia="Calibri"/>
          <w:lang w:eastAsia="en-US" w:bidi="ar-SA"/>
        </w:rPr>
      </w:pPr>
    </w:p>
    <w:p w14:paraId="4C84A0B3" w14:textId="77777777" w:rsidR="00BB4B6F" w:rsidRPr="00C020B8" w:rsidRDefault="00BB4B6F" w:rsidP="00BB4B6F">
      <w:pPr>
        <w:widowControl/>
        <w:autoSpaceDE/>
        <w:autoSpaceDN/>
        <w:rPr>
          <w:rFonts w:eastAsia="Calibri"/>
          <w:lang w:eastAsia="en-US" w:bidi="ar-SA"/>
        </w:rPr>
      </w:pPr>
      <w:r w:rsidRPr="00C020B8">
        <w:rPr>
          <w:rFonts w:eastAsia="Calibri"/>
          <w:lang w:eastAsia="en-US" w:bidi="ar-SA"/>
        </w:rPr>
        <w:t>The final assessment decision will be:</w:t>
      </w:r>
    </w:p>
    <w:p w14:paraId="1715D0D7" w14:textId="77777777" w:rsidR="00BB4B6F" w:rsidRPr="00C020B8" w:rsidRDefault="00BB4B6F" w:rsidP="00BB4B6F">
      <w:pPr>
        <w:widowControl/>
        <w:autoSpaceDE/>
        <w:autoSpaceDN/>
        <w:rPr>
          <w:rFonts w:eastAsia="Calibri"/>
          <w:lang w:eastAsia="en-US" w:bidi="ar-SA"/>
        </w:rPr>
      </w:pPr>
    </w:p>
    <w:p w14:paraId="3AF98B77" w14:textId="77777777" w:rsidR="00BB4B6F" w:rsidRPr="00C020B8" w:rsidRDefault="00BB4B6F" w:rsidP="00BB4B6F">
      <w:pPr>
        <w:keepNext/>
        <w:keepLines/>
        <w:widowControl/>
        <w:autoSpaceDE/>
        <w:autoSpaceDN/>
        <w:outlineLvl w:val="2"/>
        <w:rPr>
          <w:rFonts w:eastAsia="MS Gothic"/>
          <w:b/>
          <w:bCs/>
          <w:lang w:eastAsia="en-US" w:bidi="ar-SA"/>
        </w:rPr>
      </w:pPr>
      <w:bookmarkStart w:id="14" w:name="_Toc63247080"/>
      <w:r w:rsidRPr="00C020B8">
        <w:rPr>
          <w:rFonts w:eastAsia="MS Gothic"/>
          <w:b/>
          <w:bCs/>
          <w:lang w:eastAsia="en-US" w:bidi="ar-SA"/>
        </w:rPr>
        <w:t>Competent</w:t>
      </w:r>
      <w:bookmarkEnd w:id="14"/>
    </w:p>
    <w:p w14:paraId="12683963" w14:textId="2FEED1F8" w:rsidR="00BB4B6F" w:rsidRPr="00C020B8" w:rsidRDefault="00BB4B6F" w:rsidP="00BB4B6F">
      <w:pPr>
        <w:widowControl/>
        <w:autoSpaceDE/>
        <w:autoSpaceDN/>
        <w:rPr>
          <w:rFonts w:eastAsia="Calibri"/>
          <w:b/>
          <w:bCs/>
          <w:i/>
          <w:iCs/>
          <w:lang w:eastAsia="en-US" w:bidi="ar-SA"/>
        </w:rPr>
      </w:pPr>
      <w:r w:rsidRPr="00C020B8">
        <w:rPr>
          <w:rFonts w:eastAsia="Calibri"/>
          <w:lang w:eastAsia="en-US" w:bidi="ar-SA"/>
        </w:rPr>
        <w:t xml:space="preserve">Where the </w:t>
      </w:r>
      <w:r w:rsidR="00140FDB" w:rsidRPr="00C020B8">
        <w:rPr>
          <w:rFonts w:eastAsia="Calibri"/>
          <w:lang w:eastAsia="en-US" w:bidi="ar-SA"/>
        </w:rPr>
        <w:t>Candidate</w:t>
      </w:r>
      <w:r w:rsidRPr="00C020B8">
        <w:rPr>
          <w:rFonts w:eastAsia="Calibri"/>
          <w:lang w:eastAsia="en-US" w:bidi="ar-SA"/>
        </w:rPr>
        <w:t xml:space="preserve"> has fully demonstrated competence against the relevant Standard(s). Competent decisions are made when the </w:t>
      </w:r>
      <w:r w:rsidR="00140FDB" w:rsidRPr="00C020B8">
        <w:rPr>
          <w:rFonts w:eastAsia="Calibri"/>
          <w:lang w:eastAsia="en-US" w:bidi="ar-SA"/>
        </w:rPr>
        <w:t>Candidates</w:t>
      </w:r>
      <w:r w:rsidRPr="00C020B8">
        <w:rPr>
          <w:rFonts w:eastAsia="Calibri"/>
          <w:lang w:eastAsia="en-US" w:bidi="ar-SA"/>
        </w:rPr>
        <w:t xml:space="preserve"> evidence meets all requirements of VARCS (valid, authentic, reliable, current &amp; sufficient). </w:t>
      </w:r>
    </w:p>
    <w:p w14:paraId="436E46AF" w14:textId="77777777" w:rsidR="00BB4B6F" w:rsidRPr="00C020B8" w:rsidRDefault="00BB4B6F" w:rsidP="00BB4B6F">
      <w:pPr>
        <w:widowControl/>
        <w:autoSpaceDE/>
        <w:autoSpaceDN/>
        <w:rPr>
          <w:rFonts w:eastAsia="Calibri"/>
          <w:lang w:eastAsia="en-US" w:bidi="ar-SA"/>
        </w:rPr>
      </w:pPr>
    </w:p>
    <w:p w14:paraId="789A787E" w14:textId="77777777" w:rsidR="00BB4B6F" w:rsidRPr="00C020B8" w:rsidRDefault="00BB4B6F" w:rsidP="00BB4B6F">
      <w:pPr>
        <w:keepNext/>
        <w:keepLines/>
        <w:widowControl/>
        <w:autoSpaceDE/>
        <w:autoSpaceDN/>
        <w:outlineLvl w:val="2"/>
        <w:rPr>
          <w:rFonts w:eastAsia="MS Gothic"/>
          <w:b/>
          <w:bCs/>
          <w:lang w:eastAsia="en-US" w:bidi="ar-SA"/>
        </w:rPr>
      </w:pPr>
      <w:bookmarkStart w:id="15" w:name="_Toc63247081"/>
      <w:r w:rsidRPr="00C020B8">
        <w:rPr>
          <w:rFonts w:eastAsia="MS Gothic"/>
          <w:b/>
          <w:bCs/>
          <w:lang w:eastAsia="en-US" w:bidi="ar-SA"/>
        </w:rPr>
        <w:t>Not Yet Competent</w:t>
      </w:r>
      <w:bookmarkEnd w:id="15"/>
    </w:p>
    <w:p w14:paraId="590D8091" w14:textId="3DCC1554" w:rsidR="00BB4B6F" w:rsidRPr="00C020B8" w:rsidRDefault="00BB4B6F" w:rsidP="00BB4B6F">
      <w:pPr>
        <w:widowControl/>
        <w:autoSpaceDE/>
        <w:autoSpaceDN/>
        <w:rPr>
          <w:rFonts w:eastAsia="Calibri"/>
          <w:lang w:eastAsia="en-US" w:bidi="ar-SA"/>
        </w:rPr>
      </w:pPr>
      <w:r w:rsidRPr="00C020B8">
        <w:rPr>
          <w:rFonts w:eastAsia="Calibri"/>
          <w:lang w:eastAsia="en-US" w:bidi="ar-SA"/>
        </w:rPr>
        <w:t>A not yet competent decision will be made where there is insufficient evidence available to demonstrate competence against the Standard(s).</w:t>
      </w:r>
    </w:p>
    <w:p w14:paraId="760A322F" w14:textId="77777777" w:rsidR="00BB4B6F" w:rsidRPr="00C020B8" w:rsidRDefault="00BB4B6F" w:rsidP="00BB4B6F">
      <w:pPr>
        <w:widowControl/>
        <w:autoSpaceDE/>
        <w:autoSpaceDN/>
        <w:rPr>
          <w:rFonts w:eastAsia="Calibri"/>
          <w:lang w:eastAsia="en-US" w:bidi="ar-SA"/>
        </w:rPr>
      </w:pPr>
    </w:p>
    <w:p w14:paraId="00342A6B" w14:textId="77777777" w:rsidR="00BB4B6F" w:rsidRPr="00C020B8" w:rsidRDefault="00BB4B6F" w:rsidP="00BB4B6F">
      <w:pPr>
        <w:keepNext/>
        <w:keepLines/>
        <w:widowControl/>
        <w:autoSpaceDE/>
        <w:autoSpaceDN/>
        <w:outlineLvl w:val="2"/>
        <w:rPr>
          <w:rFonts w:eastAsia="MS Gothic"/>
          <w:b/>
          <w:bCs/>
          <w:lang w:eastAsia="en-US" w:bidi="ar-SA"/>
        </w:rPr>
      </w:pPr>
      <w:bookmarkStart w:id="16" w:name="_Toc63247082"/>
      <w:r w:rsidRPr="00C020B8">
        <w:rPr>
          <w:rFonts w:eastAsia="MS Gothic"/>
          <w:b/>
          <w:bCs/>
          <w:lang w:eastAsia="en-US" w:bidi="ar-SA"/>
        </w:rPr>
        <w:t>Re-assessment</w:t>
      </w:r>
      <w:bookmarkEnd w:id="16"/>
    </w:p>
    <w:p w14:paraId="6C4BE95D" w14:textId="0759DEA1"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Re-assessment may be required when </w:t>
      </w:r>
      <w:r w:rsidR="00140FDB" w:rsidRPr="00C020B8">
        <w:rPr>
          <w:rFonts w:eastAsia="Calibri"/>
          <w:lang w:eastAsia="en-US" w:bidi="ar-SA"/>
        </w:rPr>
        <w:t>Candidates</w:t>
      </w:r>
      <w:r w:rsidRPr="00C020B8">
        <w:rPr>
          <w:rFonts w:eastAsia="Calibri"/>
          <w:lang w:eastAsia="en-US" w:bidi="ar-SA"/>
        </w:rPr>
        <w:t xml:space="preserve"> have failed to demonstrate competence. </w:t>
      </w:r>
    </w:p>
    <w:p w14:paraId="37449238" w14:textId="09C2A346"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When considering </w:t>
      </w:r>
      <w:r w:rsidR="00140FDB" w:rsidRPr="00C020B8">
        <w:rPr>
          <w:rFonts w:eastAsia="Calibri"/>
          <w:lang w:eastAsia="en-US" w:bidi="ar-SA"/>
        </w:rPr>
        <w:t>Candidates</w:t>
      </w:r>
      <w:r w:rsidRPr="00C020B8">
        <w:rPr>
          <w:rFonts w:eastAsia="Calibri"/>
          <w:lang w:eastAsia="en-US" w:bidi="ar-SA"/>
        </w:rPr>
        <w:t xml:space="preserve"> for re-assessment the Assessor needs to decide whether to re-take the whole assessment or only part. </w:t>
      </w:r>
    </w:p>
    <w:p w14:paraId="5CAA32C0" w14:textId="77777777" w:rsidR="00BB4B6F" w:rsidRPr="00C020B8" w:rsidRDefault="00BB4B6F" w:rsidP="00BB4B6F">
      <w:pPr>
        <w:widowControl/>
        <w:autoSpaceDE/>
        <w:autoSpaceDN/>
        <w:rPr>
          <w:rFonts w:eastAsia="Calibri"/>
          <w:lang w:eastAsia="en-US" w:bidi="ar-SA"/>
        </w:rPr>
      </w:pPr>
    </w:p>
    <w:p w14:paraId="0869E9BD" w14:textId="77777777"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This will depend on: </w:t>
      </w:r>
    </w:p>
    <w:p w14:paraId="6238A00B" w14:textId="77777777" w:rsidR="00BB4B6F" w:rsidRPr="00C020B8" w:rsidRDefault="00BB4B6F" w:rsidP="00BB4B6F">
      <w:pPr>
        <w:widowControl/>
        <w:numPr>
          <w:ilvl w:val="1"/>
          <w:numId w:val="18"/>
        </w:numPr>
        <w:autoSpaceDE/>
        <w:autoSpaceDN/>
        <w:adjustRightInd w:val="0"/>
        <w:spacing w:after="100"/>
        <w:contextualSpacing/>
        <w:rPr>
          <w:rFonts w:eastAsia="Calibri"/>
          <w:lang w:eastAsia="en-US" w:bidi="ar-SA"/>
        </w:rPr>
      </w:pPr>
      <w:r w:rsidRPr="00C020B8">
        <w:rPr>
          <w:rFonts w:eastAsia="Calibri"/>
          <w:lang w:eastAsia="en-US" w:bidi="ar-SA"/>
        </w:rPr>
        <w:t xml:space="preserve">The assessment method that has been used </w:t>
      </w:r>
    </w:p>
    <w:p w14:paraId="5D0A5F45" w14:textId="77777777" w:rsidR="00140FDB" w:rsidRPr="00C020B8" w:rsidRDefault="00BB4B6F" w:rsidP="00BB4B6F">
      <w:pPr>
        <w:widowControl/>
        <w:numPr>
          <w:ilvl w:val="1"/>
          <w:numId w:val="18"/>
        </w:numPr>
        <w:autoSpaceDE/>
        <w:autoSpaceDN/>
        <w:adjustRightInd w:val="0"/>
        <w:spacing w:after="100"/>
        <w:contextualSpacing/>
        <w:rPr>
          <w:rFonts w:eastAsia="Calibri"/>
          <w:lang w:eastAsia="en-US" w:bidi="ar-SA"/>
        </w:rPr>
      </w:pPr>
      <w:r w:rsidRPr="00C020B8">
        <w:rPr>
          <w:rFonts w:eastAsia="Calibri"/>
          <w:lang w:eastAsia="en-US" w:bidi="ar-SA"/>
        </w:rPr>
        <w:t>The purpose of the assessment</w:t>
      </w:r>
    </w:p>
    <w:p w14:paraId="3160C287" w14:textId="0AFE68E2" w:rsidR="00BB4B6F" w:rsidRPr="00C020B8" w:rsidRDefault="00BB4B6F" w:rsidP="00140FDB">
      <w:pPr>
        <w:widowControl/>
        <w:autoSpaceDE/>
        <w:autoSpaceDN/>
        <w:adjustRightInd w:val="0"/>
        <w:spacing w:after="100"/>
        <w:ind w:left="1800"/>
        <w:contextualSpacing/>
        <w:rPr>
          <w:rFonts w:eastAsia="Calibri"/>
          <w:lang w:eastAsia="en-US" w:bidi="ar-SA"/>
        </w:rPr>
      </w:pPr>
      <w:r w:rsidRPr="00C020B8">
        <w:rPr>
          <w:rFonts w:eastAsia="Calibri"/>
          <w:lang w:eastAsia="en-US" w:bidi="ar-SA"/>
        </w:rPr>
        <w:t xml:space="preserve"> </w:t>
      </w:r>
    </w:p>
    <w:p w14:paraId="68138A89" w14:textId="3F13E551"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For example, the </w:t>
      </w:r>
      <w:r w:rsidR="004D21B9" w:rsidRPr="00C020B8">
        <w:rPr>
          <w:rFonts w:eastAsia="Calibri"/>
          <w:lang w:eastAsia="en-US" w:bidi="ar-SA"/>
        </w:rPr>
        <w:t>Candidate</w:t>
      </w:r>
      <w:r w:rsidRPr="00C020B8">
        <w:rPr>
          <w:rFonts w:eastAsia="Calibri"/>
          <w:lang w:eastAsia="en-US" w:bidi="ar-SA"/>
        </w:rPr>
        <w:t xml:space="preserve"> may have completed knowledge </w:t>
      </w:r>
      <w:proofErr w:type="gramStart"/>
      <w:r w:rsidRPr="00C020B8">
        <w:rPr>
          <w:rFonts w:eastAsia="Calibri"/>
          <w:lang w:eastAsia="en-US" w:bidi="ar-SA"/>
        </w:rPr>
        <w:t>questions, but</w:t>
      </w:r>
      <w:proofErr w:type="gramEnd"/>
      <w:r w:rsidRPr="00C020B8">
        <w:rPr>
          <w:rFonts w:eastAsia="Calibri"/>
          <w:lang w:eastAsia="en-US" w:bidi="ar-SA"/>
        </w:rPr>
        <w:t xml:space="preserve"> only need to be re-assessed against a couple of the questions and not the full set. </w:t>
      </w:r>
    </w:p>
    <w:p w14:paraId="50B68D46" w14:textId="77777777" w:rsidR="00BB4B6F" w:rsidRPr="00C020B8" w:rsidRDefault="00BB4B6F" w:rsidP="00BB4B6F">
      <w:pPr>
        <w:widowControl/>
        <w:autoSpaceDE/>
        <w:autoSpaceDN/>
        <w:rPr>
          <w:rFonts w:eastAsia="Calibri"/>
          <w:lang w:eastAsia="en-US" w:bidi="ar-SA"/>
        </w:rPr>
      </w:pPr>
    </w:p>
    <w:p w14:paraId="065698AA" w14:textId="77777777" w:rsidR="00BB4B6F" w:rsidRPr="00C020B8" w:rsidRDefault="00BB4B6F" w:rsidP="00BB4B6F">
      <w:pPr>
        <w:widowControl/>
        <w:autoSpaceDE/>
        <w:autoSpaceDN/>
        <w:rPr>
          <w:rFonts w:eastAsia="Calibri"/>
          <w:lang w:eastAsia="en-US" w:bidi="ar-SA"/>
        </w:rPr>
      </w:pPr>
      <w:r w:rsidRPr="00C020B8">
        <w:rPr>
          <w:rFonts w:eastAsia="Calibri"/>
          <w:lang w:eastAsia="en-US" w:bidi="ar-SA"/>
        </w:rPr>
        <w:t>In all cases of re-assessment, the assessment must be of equal demand to the original assessment.</w:t>
      </w:r>
    </w:p>
    <w:p w14:paraId="432B6A41" w14:textId="0361EE9B" w:rsidR="00BB4B6F" w:rsidRPr="00C020B8" w:rsidRDefault="004D21B9" w:rsidP="00BB4B6F">
      <w:pPr>
        <w:widowControl/>
        <w:autoSpaceDE/>
        <w:autoSpaceDN/>
        <w:rPr>
          <w:rFonts w:eastAsia="Calibri"/>
          <w:lang w:eastAsia="en-US" w:bidi="ar-SA"/>
        </w:rPr>
      </w:pPr>
      <w:r w:rsidRPr="00C020B8">
        <w:rPr>
          <w:rFonts w:eastAsia="Calibri"/>
          <w:lang w:eastAsia="en-US" w:bidi="ar-SA"/>
        </w:rPr>
        <w:t xml:space="preserve">Candidates </w:t>
      </w:r>
      <w:r w:rsidR="00BB4B6F" w:rsidRPr="00C020B8">
        <w:rPr>
          <w:rFonts w:eastAsia="Calibri"/>
          <w:lang w:eastAsia="en-US" w:bidi="ar-SA"/>
        </w:rPr>
        <w:t>who take longer to work through an Outcome or who need to be re-assessed should be assessed only against the Standards</w:t>
      </w:r>
      <w:r w:rsidRPr="00C020B8">
        <w:rPr>
          <w:rFonts w:eastAsia="Calibri"/>
          <w:lang w:eastAsia="en-US" w:bidi="ar-SA"/>
        </w:rPr>
        <w:t xml:space="preserve"> </w:t>
      </w:r>
      <w:r w:rsidR="00BB4B6F" w:rsidRPr="00C020B8">
        <w:rPr>
          <w:rFonts w:eastAsia="Calibri"/>
          <w:lang w:eastAsia="en-US" w:bidi="ar-SA"/>
        </w:rPr>
        <w:t xml:space="preserve">and must not be compared with quicker </w:t>
      </w:r>
      <w:r w:rsidRPr="00C020B8">
        <w:rPr>
          <w:rFonts w:eastAsia="Calibri"/>
          <w:lang w:eastAsia="en-US" w:bidi="ar-SA"/>
        </w:rPr>
        <w:t>Candidates.</w:t>
      </w:r>
    </w:p>
    <w:p w14:paraId="739817CD" w14:textId="77777777" w:rsidR="00BB4B6F" w:rsidRPr="00C020B8" w:rsidRDefault="00BB4B6F" w:rsidP="00BB4B6F">
      <w:pPr>
        <w:widowControl/>
        <w:autoSpaceDE/>
        <w:autoSpaceDN/>
        <w:rPr>
          <w:rFonts w:eastAsia="Calibri"/>
          <w:lang w:eastAsia="en-US" w:bidi="ar-SA"/>
        </w:rPr>
      </w:pPr>
    </w:p>
    <w:p w14:paraId="2CD60BA9" w14:textId="77777777" w:rsidR="00BB4B6F" w:rsidRPr="00C020B8" w:rsidRDefault="00BB4B6F" w:rsidP="00BB4B6F">
      <w:pPr>
        <w:keepNext/>
        <w:keepLines/>
        <w:widowControl/>
        <w:autoSpaceDE/>
        <w:autoSpaceDN/>
        <w:outlineLvl w:val="2"/>
        <w:rPr>
          <w:rFonts w:eastAsia="MS Gothic"/>
          <w:b/>
          <w:bCs/>
          <w:lang w:eastAsia="en-US" w:bidi="ar-SA"/>
        </w:rPr>
      </w:pPr>
      <w:r w:rsidRPr="00C020B8">
        <w:rPr>
          <w:rFonts w:eastAsia="MS Gothic"/>
          <w:b/>
          <w:bCs/>
          <w:lang w:eastAsia="en-US" w:bidi="ar-SA"/>
        </w:rPr>
        <w:t>Recording Assessment Decisions</w:t>
      </w:r>
    </w:p>
    <w:p w14:paraId="2A8A135C" w14:textId="77777777" w:rsidR="00BB4B6F" w:rsidRPr="00C020B8" w:rsidRDefault="00BB4B6F" w:rsidP="00BB4B6F">
      <w:pPr>
        <w:widowControl/>
        <w:autoSpaceDE/>
        <w:autoSpaceDN/>
        <w:rPr>
          <w:rFonts w:eastAsia="Calibri"/>
          <w:lang w:eastAsia="en-US" w:bidi="ar-SA"/>
        </w:rPr>
      </w:pPr>
      <w:r w:rsidRPr="00C020B8">
        <w:rPr>
          <w:rFonts w:eastAsia="Calibri"/>
          <w:lang w:eastAsia="en-US" w:bidi="ar-SA"/>
        </w:rPr>
        <w:t>All assessment decisions should be recorded and retained. Records are required because:</w:t>
      </w:r>
    </w:p>
    <w:p w14:paraId="0E157669" w14:textId="77777777" w:rsidR="00BB4B6F" w:rsidRPr="00C020B8" w:rsidRDefault="00BB4B6F" w:rsidP="00BB4B6F">
      <w:pPr>
        <w:widowControl/>
        <w:autoSpaceDE/>
        <w:autoSpaceDN/>
        <w:rPr>
          <w:rFonts w:eastAsia="Calibri"/>
          <w:lang w:eastAsia="en-US" w:bidi="ar-SA"/>
        </w:rPr>
      </w:pPr>
    </w:p>
    <w:p w14:paraId="686C4048" w14:textId="28AED157" w:rsidR="00BB4B6F" w:rsidRPr="00C020B8" w:rsidRDefault="00BB4B6F" w:rsidP="00BB4B6F">
      <w:pPr>
        <w:widowControl/>
        <w:numPr>
          <w:ilvl w:val="0"/>
          <w:numId w:val="20"/>
        </w:numPr>
        <w:autoSpaceDE/>
        <w:autoSpaceDN/>
        <w:contextualSpacing/>
        <w:rPr>
          <w:rFonts w:eastAsia="Calibri"/>
          <w:lang w:eastAsia="en-US" w:bidi="ar-SA"/>
        </w:rPr>
      </w:pPr>
      <w:r w:rsidRPr="00C020B8">
        <w:rPr>
          <w:rFonts w:eastAsia="Calibri"/>
          <w:lang w:eastAsia="en-US" w:bidi="ar-SA"/>
        </w:rPr>
        <w:t xml:space="preserve">It allows </w:t>
      </w:r>
      <w:r w:rsidR="004D21B9" w:rsidRPr="00C020B8">
        <w:rPr>
          <w:rFonts w:eastAsia="Calibri"/>
          <w:lang w:eastAsia="en-US" w:bidi="ar-SA"/>
        </w:rPr>
        <w:t>Candidates</w:t>
      </w:r>
      <w:r w:rsidRPr="00C020B8">
        <w:rPr>
          <w:rFonts w:eastAsia="Calibri"/>
          <w:lang w:eastAsia="en-US" w:bidi="ar-SA"/>
        </w:rPr>
        <w:t>’ progress to be tracked.</w:t>
      </w:r>
    </w:p>
    <w:p w14:paraId="1BEAF575" w14:textId="77777777" w:rsidR="00BB4B6F" w:rsidRPr="00C020B8" w:rsidRDefault="00BB4B6F" w:rsidP="00BB4B6F">
      <w:pPr>
        <w:widowControl/>
        <w:numPr>
          <w:ilvl w:val="0"/>
          <w:numId w:val="20"/>
        </w:numPr>
        <w:autoSpaceDE/>
        <w:autoSpaceDN/>
        <w:contextualSpacing/>
        <w:rPr>
          <w:rFonts w:eastAsia="Calibri"/>
          <w:lang w:eastAsia="en-US" w:bidi="ar-SA"/>
        </w:rPr>
      </w:pPr>
      <w:r w:rsidRPr="00C020B8">
        <w:rPr>
          <w:rFonts w:eastAsia="Calibri"/>
          <w:lang w:eastAsia="en-US" w:bidi="ar-SA"/>
        </w:rPr>
        <w:t>Internal and external verifiers will use the records to help them select sample assessment decisions for review.</w:t>
      </w:r>
    </w:p>
    <w:p w14:paraId="1FD7412E" w14:textId="77777777" w:rsidR="00BB4B6F" w:rsidRPr="00C020B8" w:rsidRDefault="00BB4B6F" w:rsidP="00BB4B6F">
      <w:pPr>
        <w:widowControl/>
        <w:numPr>
          <w:ilvl w:val="0"/>
          <w:numId w:val="20"/>
        </w:numPr>
        <w:autoSpaceDE/>
        <w:autoSpaceDN/>
        <w:contextualSpacing/>
        <w:rPr>
          <w:rFonts w:eastAsia="Calibri"/>
          <w:lang w:eastAsia="en-US" w:bidi="ar-SA"/>
        </w:rPr>
      </w:pPr>
      <w:r w:rsidRPr="00C020B8">
        <w:rPr>
          <w:rFonts w:eastAsia="Calibri"/>
          <w:lang w:eastAsia="en-US" w:bidi="ar-SA"/>
        </w:rPr>
        <w:t>Awarding bodies can use records when monitoring quality assurance activities in the approved centre.</w:t>
      </w:r>
    </w:p>
    <w:p w14:paraId="1FEC339E" w14:textId="77777777" w:rsidR="00BB4B6F" w:rsidRPr="00C020B8" w:rsidRDefault="00BB4B6F" w:rsidP="00BB4B6F">
      <w:pPr>
        <w:widowControl/>
        <w:autoSpaceDE/>
        <w:autoSpaceDN/>
        <w:rPr>
          <w:rFonts w:eastAsia="Calibri"/>
          <w:lang w:eastAsia="en-US" w:bidi="ar-SA"/>
        </w:rPr>
      </w:pPr>
    </w:p>
    <w:p w14:paraId="4384E6D3" w14:textId="77777777" w:rsidR="00BB4B6F" w:rsidRPr="00C020B8" w:rsidRDefault="00BB4B6F" w:rsidP="00BB4B6F">
      <w:pPr>
        <w:keepNext/>
        <w:keepLines/>
        <w:widowControl/>
        <w:autoSpaceDE/>
        <w:autoSpaceDN/>
        <w:outlineLvl w:val="1"/>
        <w:rPr>
          <w:rFonts w:eastAsia="MS Gothic"/>
          <w:b/>
          <w:bCs/>
          <w:lang w:eastAsia="en-US" w:bidi="ar-SA"/>
        </w:rPr>
      </w:pPr>
      <w:bookmarkStart w:id="17" w:name="_Toc130825223"/>
      <w:r w:rsidRPr="00C020B8">
        <w:rPr>
          <w:rFonts w:eastAsia="MS Gothic"/>
          <w:b/>
          <w:bCs/>
          <w:lang w:eastAsia="en-US" w:bidi="ar-SA"/>
        </w:rPr>
        <w:t>Feedback on Assessment</w:t>
      </w:r>
      <w:bookmarkEnd w:id="17"/>
    </w:p>
    <w:p w14:paraId="5C980FDB" w14:textId="7CD5AE50"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The basis of an assessment is close co-operation between the Assessor and the </w:t>
      </w:r>
      <w:r w:rsidR="004D21B9" w:rsidRPr="00C020B8">
        <w:rPr>
          <w:rFonts w:eastAsia="Calibri"/>
          <w:lang w:eastAsia="en-US" w:bidi="ar-SA"/>
        </w:rPr>
        <w:t xml:space="preserve">Candidate </w:t>
      </w:r>
      <w:r w:rsidRPr="00C020B8">
        <w:rPr>
          <w:rFonts w:eastAsia="Calibri"/>
          <w:lang w:eastAsia="en-US" w:bidi="ar-SA"/>
        </w:rPr>
        <w:t xml:space="preserve">with discussion and agreement at each stage. Final feedback should be </w:t>
      </w:r>
      <w:proofErr w:type="gramStart"/>
      <w:r w:rsidRPr="00C020B8">
        <w:rPr>
          <w:rFonts w:eastAsia="Calibri"/>
          <w:lang w:eastAsia="en-US" w:bidi="ar-SA"/>
        </w:rPr>
        <w:t>given  at</w:t>
      </w:r>
      <w:proofErr w:type="gramEnd"/>
      <w:r w:rsidRPr="00C020B8">
        <w:rPr>
          <w:rFonts w:eastAsia="Calibri"/>
          <w:lang w:eastAsia="en-US" w:bidi="ar-SA"/>
        </w:rPr>
        <w:t xml:space="preserve"> the end of the assessment process, in a neutral location,  and as a minimum recorded formally at the end. Feedback must be constructive and should be used to:</w:t>
      </w:r>
    </w:p>
    <w:p w14:paraId="50A53147" w14:textId="77777777" w:rsidR="00BB4B6F" w:rsidRPr="00C020B8" w:rsidRDefault="00BB4B6F" w:rsidP="00BB4B6F">
      <w:pPr>
        <w:widowControl/>
        <w:autoSpaceDE/>
        <w:autoSpaceDN/>
        <w:rPr>
          <w:rFonts w:eastAsia="Calibri"/>
          <w:lang w:eastAsia="en-US" w:bidi="ar-SA"/>
        </w:rPr>
      </w:pPr>
    </w:p>
    <w:p w14:paraId="6C606022" w14:textId="0DD3132E" w:rsidR="00BB4B6F" w:rsidRPr="00C020B8" w:rsidRDefault="00BB4B6F" w:rsidP="00BB4B6F">
      <w:pPr>
        <w:widowControl/>
        <w:numPr>
          <w:ilvl w:val="0"/>
          <w:numId w:val="17"/>
        </w:numPr>
        <w:autoSpaceDE/>
        <w:autoSpaceDN/>
        <w:adjustRightInd w:val="0"/>
        <w:spacing w:after="100"/>
        <w:contextualSpacing/>
        <w:rPr>
          <w:rFonts w:eastAsia="Calibri"/>
          <w:lang w:eastAsia="en-US" w:bidi="ar-SA"/>
        </w:rPr>
      </w:pPr>
      <w:r w:rsidRPr="00C020B8">
        <w:rPr>
          <w:rFonts w:eastAsia="Calibri"/>
          <w:lang w:eastAsia="en-US" w:bidi="ar-SA"/>
        </w:rPr>
        <w:t xml:space="preserve">Support </w:t>
      </w:r>
      <w:r w:rsidR="004D21B9" w:rsidRPr="00C020B8">
        <w:rPr>
          <w:rFonts w:eastAsia="Calibri"/>
          <w:lang w:eastAsia="en-US" w:bidi="ar-SA"/>
        </w:rPr>
        <w:t>Candidates</w:t>
      </w:r>
      <w:r w:rsidRPr="00C020B8">
        <w:rPr>
          <w:rFonts w:eastAsia="Calibri"/>
          <w:lang w:eastAsia="en-US" w:bidi="ar-SA"/>
        </w:rPr>
        <w:t>.</w:t>
      </w:r>
    </w:p>
    <w:p w14:paraId="4854F568" w14:textId="77777777" w:rsidR="00BB4B6F" w:rsidRPr="00C020B8" w:rsidRDefault="00BB4B6F" w:rsidP="00BB4B6F">
      <w:pPr>
        <w:widowControl/>
        <w:numPr>
          <w:ilvl w:val="0"/>
          <w:numId w:val="17"/>
        </w:numPr>
        <w:autoSpaceDE/>
        <w:autoSpaceDN/>
        <w:adjustRightInd w:val="0"/>
        <w:spacing w:after="100"/>
        <w:contextualSpacing/>
        <w:rPr>
          <w:rFonts w:eastAsia="Calibri"/>
          <w:lang w:eastAsia="en-US" w:bidi="ar-SA"/>
        </w:rPr>
      </w:pPr>
      <w:r w:rsidRPr="00C020B8">
        <w:rPr>
          <w:rFonts w:eastAsia="Calibri"/>
          <w:lang w:eastAsia="en-US" w:bidi="ar-SA"/>
        </w:rPr>
        <w:t>Motivate and encourage.</w:t>
      </w:r>
    </w:p>
    <w:p w14:paraId="7E5776C3" w14:textId="77777777" w:rsidR="00BB4B6F" w:rsidRPr="00C020B8" w:rsidRDefault="00BB4B6F" w:rsidP="00BB4B6F">
      <w:pPr>
        <w:widowControl/>
        <w:numPr>
          <w:ilvl w:val="0"/>
          <w:numId w:val="17"/>
        </w:numPr>
        <w:autoSpaceDE/>
        <w:autoSpaceDN/>
        <w:adjustRightInd w:val="0"/>
        <w:spacing w:after="100"/>
        <w:contextualSpacing/>
        <w:rPr>
          <w:rFonts w:eastAsia="Calibri"/>
          <w:lang w:eastAsia="en-US" w:bidi="ar-SA"/>
        </w:rPr>
      </w:pPr>
      <w:r w:rsidRPr="00C020B8">
        <w:rPr>
          <w:rFonts w:eastAsia="Calibri"/>
          <w:lang w:eastAsia="en-US" w:bidi="ar-SA"/>
        </w:rPr>
        <w:t>Point out strengths.</w:t>
      </w:r>
    </w:p>
    <w:p w14:paraId="7C740AD3" w14:textId="77777777" w:rsidR="00BB4B6F" w:rsidRPr="00C020B8" w:rsidRDefault="00BB4B6F" w:rsidP="00BB4B6F">
      <w:pPr>
        <w:widowControl/>
        <w:numPr>
          <w:ilvl w:val="0"/>
          <w:numId w:val="17"/>
        </w:numPr>
        <w:autoSpaceDE/>
        <w:autoSpaceDN/>
        <w:adjustRightInd w:val="0"/>
        <w:spacing w:after="100"/>
        <w:contextualSpacing/>
        <w:rPr>
          <w:rFonts w:eastAsia="Calibri"/>
          <w:lang w:eastAsia="en-US" w:bidi="ar-SA"/>
        </w:rPr>
      </w:pPr>
      <w:r w:rsidRPr="00C020B8">
        <w:rPr>
          <w:rFonts w:eastAsia="Calibri"/>
          <w:lang w:eastAsia="en-US" w:bidi="ar-SA"/>
        </w:rPr>
        <w:t>Identify development needs.</w:t>
      </w:r>
    </w:p>
    <w:p w14:paraId="0AD047C0" w14:textId="77777777" w:rsidR="00BB4B6F" w:rsidRPr="00C020B8" w:rsidRDefault="00BB4B6F" w:rsidP="00BB4B6F">
      <w:pPr>
        <w:widowControl/>
        <w:autoSpaceDE/>
        <w:autoSpaceDN/>
        <w:rPr>
          <w:rFonts w:eastAsia="Calibri"/>
          <w:lang w:eastAsia="en-US" w:bidi="ar-SA"/>
        </w:rPr>
      </w:pPr>
    </w:p>
    <w:p w14:paraId="735D5768" w14:textId="77777777" w:rsidR="00BB4B6F" w:rsidRPr="00C020B8" w:rsidRDefault="00BB4B6F" w:rsidP="00BB4B6F">
      <w:pPr>
        <w:keepNext/>
        <w:keepLines/>
        <w:widowControl/>
        <w:autoSpaceDE/>
        <w:autoSpaceDN/>
        <w:outlineLvl w:val="1"/>
        <w:rPr>
          <w:rFonts w:eastAsia="MS Gothic"/>
          <w:b/>
          <w:bCs/>
          <w:lang w:eastAsia="en-US" w:bidi="ar-SA"/>
        </w:rPr>
      </w:pPr>
      <w:bookmarkStart w:id="18" w:name="_Toc63247083"/>
      <w:bookmarkStart w:id="19" w:name="_Toc130825224"/>
      <w:r w:rsidRPr="00C020B8">
        <w:rPr>
          <w:rFonts w:eastAsia="MS Gothic"/>
          <w:b/>
          <w:bCs/>
          <w:lang w:eastAsia="en-US" w:bidi="ar-SA"/>
        </w:rPr>
        <w:t>Exceptional Circumstances</w:t>
      </w:r>
      <w:bookmarkEnd w:id="18"/>
      <w:bookmarkEnd w:id="19"/>
    </w:p>
    <w:p w14:paraId="5EEF15A2" w14:textId="2CD52770"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To ensure fairness for </w:t>
      </w:r>
      <w:bookmarkStart w:id="20" w:name="_Hlk162272134"/>
      <w:r w:rsidR="004D21B9" w:rsidRPr="00C020B8">
        <w:rPr>
          <w:rFonts w:eastAsia="Calibri"/>
          <w:lang w:eastAsia="en-US" w:bidi="ar-SA"/>
        </w:rPr>
        <w:t>Candidates</w:t>
      </w:r>
      <w:bookmarkEnd w:id="20"/>
      <w:r w:rsidRPr="00C020B8">
        <w:rPr>
          <w:rFonts w:eastAsia="Calibri"/>
          <w:lang w:eastAsia="en-US" w:bidi="ar-SA"/>
        </w:rPr>
        <w:t xml:space="preserve"> in the external assessment process, processes are in place to ensure that </w:t>
      </w:r>
      <w:r w:rsidR="004D21B9" w:rsidRPr="00C020B8">
        <w:rPr>
          <w:rFonts w:eastAsia="Calibri"/>
          <w:lang w:eastAsia="en-US" w:bidi="ar-SA"/>
        </w:rPr>
        <w:t>Candidates</w:t>
      </w:r>
      <w:r w:rsidRPr="00C020B8">
        <w:rPr>
          <w:rFonts w:eastAsia="Calibri"/>
          <w:lang w:eastAsia="en-US" w:bidi="ar-SA"/>
        </w:rPr>
        <w:t xml:space="preserve"> who have suffered genuinely exceptional circumstances, (such as a bereavement or illness,) before or around submission of unit or award evidence, are not disadvantaged, and to provide a safety net check of </w:t>
      </w:r>
      <w:proofErr w:type="gramStart"/>
      <w:r w:rsidRPr="00C020B8">
        <w:rPr>
          <w:rFonts w:eastAsia="Calibri"/>
          <w:lang w:eastAsia="en-US" w:bidi="ar-SA"/>
        </w:rPr>
        <w:t>final results</w:t>
      </w:r>
      <w:proofErr w:type="gramEnd"/>
      <w:r w:rsidRPr="00C020B8">
        <w:rPr>
          <w:rFonts w:eastAsia="Calibri"/>
          <w:lang w:eastAsia="en-US" w:bidi="ar-SA"/>
        </w:rPr>
        <w:t xml:space="preserve">. </w:t>
      </w:r>
      <w:r w:rsidR="004D21B9" w:rsidRPr="00C020B8">
        <w:rPr>
          <w:rFonts w:eastAsia="Calibri"/>
          <w:lang w:eastAsia="en-US" w:bidi="ar-SA"/>
        </w:rPr>
        <w:t>Candidates</w:t>
      </w:r>
      <w:r w:rsidRPr="00C020B8">
        <w:rPr>
          <w:rFonts w:eastAsia="Calibri"/>
          <w:lang w:eastAsia="en-US" w:bidi="ar-SA"/>
        </w:rPr>
        <w:t xml:space="preserve"> should be made aware of this during their induction and followed up during the assessment planning stage. </w:t>
      </w:r>
    </w:p>
    <w:p w14:paraId="151DD493" w14:textId="77777777" w:rsidR="00BB4B6F" w:rsidRPr="00C020B8" w:rsidRDefault="00BB4B6F" w:rsidP="00BB4B6F">
      <w:pPr>
        <w:widowControl/>
        <w:autoSpaceDE/>
        <w:autoSpaceDN/>
        <w:rPr>
          <w:rFonts w:eastAsia="Calibri"/>
          <w:lang w:eastAsia="en-US" w:bidi="ar-SA"/>
        </w:rPr>
      </w:pPr>
    </w:p>
    <w:p w14:paraId="3470D462" w14:textId="024EC873"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On </w:t>
      </w:r>
      <w:proofErr w:type="gramStart"/>
      <w:r w:rsidRPr="00C020B8">
        <w:rPr>
          <w:rFonts w:eastAsia="Calibri"/>
          <w:lang w:eastAsia="en-US" w:bidi="ar-SA"/>
        </w:rPr>
        <w:t>return to work</w:t>
      </w:r>
      <w:proofErr w:type="gramEnd"/>
      <w:r w:rsidRPr="00C020B8">
        <w:rPr>
          <w:rFonts w:eastAsia="Calibri"/>
          <w:lang w:eastAsia="en-US" w:bidi="ar-SA"/>
        </w:rPr>
        <w:t xml:space="preserve"> </w:t>
      </w:r>
      <w:r w:rsidR="004D21B9" w:rsidRPr="00C020B8">
        <w:rPr>
          <w:rFonts w:eastAsia="Calibri"/>
          <w:lang w:eastAsia="en-US" w:bidi="ar-SA"/>
        </w:rPr>
        <w:t>Candidates</w:t>
      </w:r>
      <w:r w:rsidRPr="00C020B8">
        <w:rPr>
          <w:rFonts w:eastAsia="Calibri"/>
          <w:lang w:eastAsia="en-US" w:bidi="ar-SA"/>
        </w:rPr>
        <w:t xml:space="preserve"> will review their assessment plan with their Assessor. All existing evidence will be reviewed and assessed using the VARCS principles by an Assessor. Evidence that is not within Currency should be revalidated and re-assessed by the Assessor to ensure the </w:t>
      </w:r>
      <w:r w:rsidR="004D21B9" w:rsidRPr="00C020B8">
        <w:rPr>
          <w:rFonts w:eastAsia="Calibri"/>
          <w:lang w:eastAsia="en-US" w:bidi="ar-SA"/>
        </w:rPr>
        <w:t>Candidate</w:t>
      </w:r>
      <w:r w:rsidRPr="00C020B8">
        <w:rPr>
          <w:rFonts w:eastAsia="Calibri"/>
          <w:lang w:eastAsia="en-US" w:bidi="ar-SA"/>
        </w:rPr>
        <w:t xml:space="preserve"> still has the required skills &amp; knowledge to meet the requirements of the Standards</w:t>
      </w:r>
      <w:r w:rsidR="003E7BAD">
        <w:rPr>
          <w:rFonts w:eastAsia="Calibri"/>
          <w:lang w:eastAsia="en-US" w:bidi="ar-SA"/>
        </w:rPr>
        <w:t>.</w:t>
      </w:r>
    </w:p>
    <w:p w14:paraId="67908A4B" w14:textId="77777777" w:rsidR="00BB4B6F" w:rsidRPr="00C020B8" w:rsidRDefault="00BB4B6F" w:rsidP="00BB4B6F">
      <w:pPr>
        <w:widowControl/>
        <w:autoSpaceDE/>
        <w:autoSpaceDN/>
        <w:rPr>
          <w:rFonts w:eastAsia="Calibri"/>
          <w:lang w:eastAsia="en-US" w:bidi="ar-SA"/>
        </w:rPr>
      </w:pPr>
    </w:p>
    <w:p w14:paraId="2F163F28" w14:textId="77777777" w:rsidR="00BB4B6F" w:rsidRPr="00C020B8" w:rsidRDefault="00BB4B6F" w:rsidP="00BB4B6F">
      <w:pPr>
        <w:keepNext/>
        <w:keepLines/>
        <w:widowControl/>
        <w:autoSpaceDE/>
        <w:autoSpaceDN/>
        <w:outlineLvl w:val="2"/>
        <w:rPr>
          <w:rFonts w:eastAsia="MS Gothic"/>
          <w:b/>
          <w:bCs/>
          <w:lang w:eastAsia="en-US" w:bidi="ar-SA"/>
        </w:rPr>
      </w:pPr>
      <w:bookmarkStart w:id="21" w:name="_Toc130813435"/>
      <w:bookmarkStart w:id="22" w:name="_Toc130813493"/>
      <w:bookmarkStart w:id="23" w:name="_Toc130818066"/>
      <w:bookmarkStart w:id="24" w:name="_Toc130818134"/>
      <w:bookmarkStart w:id="25" w:name="_Toc130818201"/>
      <w:bookmarkStart w:id="26" w:name="_Toc130818269"/>
      <w:bookmarkStart w:id="27" w:name="_Toc130818337"/>
      <w:bookmarkStart w:id="28" w:name="_Toc130818575"/>
      <w:bookmarkStart w:id="29" w:name="_Toc130825225"/>
      <w:bookmarkStart w:id="30" w:name="_Toc130813436"/>
      <w:bookmarkStart w:id="31" w:name="_Toc130813494"/>
      <w:bookmarkStart w:id="32" w:name="_Toc130818067"/>
      <w:bookmarkStart w:id="33" w:name="_Toc130818135"/>
      <w:bookmarkStart w:id="34" w:name="_Toc130818202"/>
      <w:bookmarkStart w:id="35" w:name="_Toc130818270"/>
      <w:bookmarkStart w:id="36" w:name="_Toc130818338"/>
      <w:bookmarkStart w:id="37" w:name="_Toc130818576"/>
      <w:bookmarkStart w:id="38" w:name="_Toc130825226"/>
      <w:bookmarkStart w:id="39" w:name="_Toc13082522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C020B8">
        <w:rPr>
          <w:rFonts w:eastAsia="MS Gothic"/>
          <w:b/>
          <w:bCs/>
          <w:lang w:eastAsia="en-US" w:bidi="ar-SA"/>
        </w:rPr>
        <w:t>Assessment Methods</w:t>
      </w:r>
      <w:bookmarkEnd w:id="39"/>
      <w:r w:rsidRPr="00C020B8">
        <w:rPr>
          <w:rFonts w:eastAsia="MS Gothic"/>
          <w:b/>
          <w:bCs/>
          <w:lang w:eastAsia="en-US" w:bidi="ar-SA"/>
        </w:rPr>
        <w:t xml:space="preserve"> </w:t>
      </w:r>
    </w:p>
    <w:p w14:paraId="0381A831" w14:textId="77777777" w:rsidR="00BB4B6F" w:rsidRPr="00C020B8" w:rsidRDefault="00BB4B6F" w:rsidP="00BB4B6F">
      <w:pPr>
        <w:widowControl/>
        <w:autoSpaceDE/>
        <w:autoSpaceDN/>
        <w:rPr>
          <w:rFonts w:eastAsia="Calibri"/>
          <w:lang w:eastAsia="en-US" w:bidi="ar-SA"/>
        </w:rPr>
      </w:pPr>
    </w:p>
    <w:p w14:paraId="201E1E4B" w14:textId="77777777" w:rsidR="00BB4B6F" w:rsidRPr="00C020B8" w:rsidRDefault="00BB4B6F" w:rsidP="00BB4B6F">
      <w:pPr>
        <w:widowControl/>
        <w:adjustRightInd w:val="0"/>
        <w:jc w:val="both"/>
        <w:rPr>
          <w:rFonts w:eastAsia="Calibri"/>
          <w:i/>
          <w:lang w:eastAsia="en-US" w:bidi="ar-SA"/>
        </w:rPr>
      </w:pPr>
      <w:r w:rsidRPr="00C020B8">
        <w:rPr>
          <w:rFonts w:eastAsia="Calibri"/>
          <w:i/>
          <w:lang w:eastAsia="en-US" w:bidi="ar-SA"/>
        </w:rPr>
        <w:t xml:space="preserve">Awarding Bodies should specify the appropriate assessment methods </w:t>
      </w:r>
      <w:proofErr w:type="gramStart"/>
      <w:r w:rsidRPr="00C020B8">
        <w:rPr>
          <w:rFonts w:eastAsia="Calibri"/>
          <w:i/>
          <w:lang w:eastAsia="en-US" w:bidi="ar-SA"/>
        </w:rPr>
        <w:t>in order to</w:t>
      </w:r>
      <w:proofErr w:type="gramEnd"/>
      <w:r w:rsidRPr="00C020B8">
        <w:rPr>
          <w:rFonts w:eastAsia="Calibri"/>
          <w:i/>
          <w:lang w:eastAsia="en-US" w:bidi="ar-SA"/>
        </w:rPr>
        <w:t xml:space="preserve"> ensure that the requirements specified within each Standard are achieved.  </w:t>
      </w:r>
      <w:proofErr w:type="gramStart"/>
      <w:r w:rsidRPr="00C020B8">
        <w:rPr>
          <w:rFonts w:eastAsia="Calibri"/>
          <w:i/>
          <w:lang w:eastAsia="en-US" w:bidi="ar-SA"/>
        </w:rPr>
        <w:t>Typically</w:t>
      </w:r>
      <w:proofErr w:type="gramEnd"/>
      <w:r w:rsidRPr="00C020B8">
        <w:rPr>
          <w:rFonts w:eastAsia="Calibri"/>
          <w:i/>
          <w:lang w:eastAsia="en-US" w:bidi="ar-SA"/>
        </w:rPr>
        <w:t xml:space="preserve"> used and appropriate assessment methods which may be deployed are described in this section.  The primary methods of assessment are observation and questioning and the secondary methods are product evidence, personal statement, witness testimony, professional discussion and RPL. </w:t>
      </w:r>
    </w:p>
    <w:p w14:paraId="3E7CE974" w14:textId="77777777" w:rsidR="00BB4B6F" w:rsidRPr="00C020B8" w:rsidRDefault="00BB4B6F" w:rsidP="00BB4B6F">
      <w:pPr>
        <w:widowControl/>
        <w:adjustRightInd w:val="0"/>
        <w:jc w:val="both"/>
        <w:rPr>
          <w:rFonts w:eastAsia="Calibri"/>
          <w:i/>
          <w:lang w:eastAsia="en-US" w:bidi="ar-SA"/>
        </w:rPr>
      </w:pPr>
    </w:p>
    <w:p w14:paraId="5914E88C" w14:textId="4DD51676" w:rsidR="00BB4B6F" w:rsidRPr="00C020B8" w:rsidRDefault="00BB4B6F" w:rsidP="00BB4B6F">
      <w:pPr>
        <w:widowControl/>
        <w:adjustRightInd w:val="0"/>
        <w:jc w:val="both"/>
        <w:rPr>
          <w:rFonts w:eastAsia="Calibri"/>
          <w:lang w:eastAsia="en-US" w:bidi="ar-SA"/>
        </w:rPr>
      </w:pPr>
      <w:r w:rsidRPr="00C020B8">
        <w:rPr>
          <w:rFonts w:eastAsia="Calibri"/>
          <w:lang w:eastAsia="en-US" w:bidi="ar-SA"/>
        </w:rPr>
        <w:t>Standard(s)</w:t>
      </w:r>
      <w:r w:rsidR="004D21B9" w:rsidRPr="00C020B8">
        <w:rPr>
          <w:rFonts w:eastAsia="Calibri"/>
          <w:lang w:eastAsia="en-US" w:bidi="ar-SA"/>
        </w:rPr>
        <w:t xml:space="preserve"> </w:t>
      </w:r>
      <w:r w:rsidRPr="00C020B8">
        <w:rPr>
          <w:rFonts w:eastAsia="Calibri"/>
          <w:lang w:eastAsia="en-US" w:bidi="ar-SA"/>
        </w:rPr>
        <w:t xml:space="preserve">generally specify criteria as either Performance or Knowledge.  </w:t>
      </w:r>
    </w:p>
    <w:p w14:paraId="122A21CC" w14:textId="77777777" w:rsidR="00BB4B6F" w:rsidRPr="00C020B8" w:rsidRDefault="00BB4B6F" w:rsidP="00BB4B6F">
      <w:pPr>
        <w:widowControl/>
        <w:adjustRightInd w:val="0"/>
        <w:jc w:val="both"/>
        <w:rPr>
          <w:rFonts w:eastAsia="Calibri"/>
          <w:iCs/>
          <w:lang w:eastAsia="en-US" w:bidi="ar-SA"/>
        </w:rPr>
      </w:pPr>
    </w:p>
    <w:p w14:paraId="755F47E7" w14:textId="77777777" w:rsidR="00BB4B6F" w:rsidRPr="00C020B8" w:rsidRDefault="00BB4B6F" w:rsidP="00BB4B6F">
      <w:pPr>
        <w:widowControl/>
        <w:adjustRightInd w:val="0"/>
        <w:jc w:val="both"/>
        <w:rPr>
          <w:rFonts w:eastAsia="Calibri"/>
          <w:iCs/>
          <w:lang w:eastAsia="en-US" w:bidi="ar-SA"/>
        </w:rPr>
      </w:pPr>
      <w:r w:rsidRPr="00C020B8">
        <w:rPr>
          <w:rFonts w:eastAsia="MS Gothic"/>
          <w:b/>
          <w:bCs/>
          <w:lang w:eastAsia="en-US" w:bidi="ar-SA"/>
        </w:rPr>
        <w:t>Performance Evidence</w:t>
      </w:r>
      <w:r w:rsidRPr="00C020B8">
        <w:rPr>
          <w:rFonts w:eastAsia="Calibri"/>
          <w:iCs/>
          <w:lang w:eastAsia="en-US" w:bidi="ar-SA"/>
        </w:rPr>
        <w:t xml:space="preserve"> </w:t>
      </w:r>
    </w:p>
    <w:p w14:paraId="63565CFB" w14:textId="09C7C673" w:rsidR="00BB4B6F" w:rsidRPr="00C020B8" w:rsidRDefault="00BB4B6F" w:rsidP="00BB4B6F">
      <w:pPr>
        <w:widowControl/>
        <w:adjustRightInd w:val="0"/>
        <w:jc w:val="both"/>
        <w:rPr>
          <w:rFonts w:eastAsia="Calibri"/>
          <w:iCs/>
          <w:lang w:eastAsia="en-US" w:bidi="ar-SA"/>
        </w:rPr>
      </w:pPr>
      <w:r w:rsidRPr="00C020B8">
        <w:rPr>
          <w:rFonts w:eastAsia="Calibri"/>
          <w:iCs/>
          <w:lang w:eastAsia="en-US" w:bidi="ar-SA"/>
        </w:rPr>
        <w:t xml:space="preserve">Demonstrates a </w:t>
      </w:r>
      <w:bookmarkStart w:id="40" w:name="_Hlk162272261"/>
      <w:r w:rsidR="004D21B9" w:rsidRPr="00C020B8">
        <w:rPr>
          <w:rFonts w:eastAsia="Calibri"/>
          <w:iCs/>
          <w:lang w:eastAsia="en-US" w:bidi="ar-SA"/>
        </w:rPr>
        <w:t>Candidates</w:t>
      </w:r>
      <w:bookmarkEnd w:id="40"/>
      <w:r w:rsidRPr="00C020B8">
        <w:rPr>
          <w:rFonts w:eastAsia="Calibri"/>
          <w:iCs/>
          <w:lang w:eastAsia="en-US" w:bidi="ar-SA"/>
        </w:rPr>
        <w:t xml:space="preserve"> skills and ability as well as some level of knowledge. Typically carried out through observation, although other methods can also be used.</w:t>
      </w:r>
    </w:p>
    <w:p w14:paraId="0339F0F7" w14:textId="77777777" w:rsidR="00BB4B6F" w:rsidRPr="00C020B8" w:rsidRDefault="00BB4B6F" w:rsidP="00BB4B6F">
      <w:pPr>
        <w:widowControl/>
        <w:adjustRightInd w:val="0"/>
        <w:jc w:val="both"/>
        <w:rPr>
          <w:rFonts w:eastAsia="Calibri"/>
          <w:iCs/>
          <w:lang w:eastAsia="en-US" w:bidi="ar-SA"/>
        </w:rPr>
      </w:pPr>
    </w:p>
    <w:p w14:paraId="60DDD6CC" w14:textId="77777777" w:rsidR="00BB4B6F" w:rsidRPr="00C020B8" w:rsidRDefault="00BB4B6F" w:rsidP="00BB4B6F">
      <w:pPr>
        <w:keepNext/>
        <w:keepLines/>
        <w:widowControl/>
        <w:autoSpaceDE/>
        <w:autoSpaceDN/>
        <w:outlineLvl w:val="2"/>
        <w:rPr>
          <w:rFonts w:eastAsia="MS Gothic"/>
          <w:b/>
          <w:bCs/>
          <w:lang w:eastAsia="en-US" w:bidi="ar-SA"/>
        </w:rPr>
      </w:pPr>
      <w:r w:rsidRPr="00C020B8">
        <w:rPr>
          <w:rFonts w:eastAsia="MS Gothic"/>
          <w:b/>
          <w:bCs/>
          <w:lang w:eastAsia="en-US" w:bidi="ar-SA"/>
        </w:rPr>
        <w:t xml:space="preserve">Knowledge Evidence </w:t>
      </w:r>
    </w:p>
    <w:p w14:paraId="39862A40" w14:textId="04966D99" w:rsidR="00BB4B6F" w:rsidRPr="00C020B8" w:rsidRDefault="00BB4B6F" w:rsidP="00BB4B6F">
      <w:pPr>
        <w:widowControl/>
        <w:adjustRightInd w:val="0"/>
        <w:jc w:val="both"/>
        <w:rPr>
          <w:rFonts w:eastAsia="Calibri"/>
          <w:iCs/>
          <w:lang w:eastAsia="en-US" w:bidi="ar-SA"/>
        </w:rPr>
      </w:pPr>
      <w:r w:rsidRPr="00C020B8">
        <w:rPr>
          <w:rFonts w:eastAsia="Calibri"/>
          <w:iCs/>
          <w:lang w:eastAsia="en-US" w:bidi="ar-SA"/>
        </w:rPr>
        <w:t xml:space="preserve">Demonstrates the </w:t>
      </w:r>
      <w:r w:rsidR="004D21B9" w:rsidRPr="00C020B8">
        <w:rPr>
          <w:rFonts w:eastAsia="Calibri"/>
          <w:iCs/>
          <w:lang w:eastAsia="en-US" w:bidi="ar-SA"/>
        </w:rPr>
        <w:t>Candidates</w:t>
      </w:r>
      <w:r w:rsidRPr="00C020B8">
        <w:rPr>
          <w:rFonts w:eastAsia="Calibri"/>
          <w:iCs/>
          <w:lang w:eastAsia="en-US" w:bidi="ar-SA"/>
        </w:rPr>
        <w:t xml:space="preserve"> understanding and how it is applied to the task. Typically carried out through questioning, although other methods can also be used.</w:t>
      </w:r>
    </w:p>
    <w:p w14:paraId="6B0FB76F" w14:textId="77777777" w:rsidR="00BB4B6F" w:rsidRPr="00C020B8" w:rsidRDefault="00BB4B6F" w:rsidP="00BB4B6F">
      <w:pPr>
        <w:widowControl/>
        <w:adjustRightInd w:val="0"/>
        <w:jc w:val="both"/>
        <w:rPr>
          <w:rFonts w:eastAsia="Calibri"/>
          <w:i/>
          <w:lang w:eastAsia="en-US" w:bidi="ar-SA"/>
        </w:rPr>
      </w:pPr>
    </w:p>
    <w:p w14:paraId="54FD0387" w14:textId="77777777" w:rsidR="00BB4B6F" w:rsidRPr="00C020B8" w:rsidRDefault="00BB4B6F" w:rsidP="00BB4B6F">
      <w:pPr>
        <w:keepNext/>
        <w:keepLines/>
        <w:widowControl/>
        <w:autoSpaceDE/>
        <w:autoSpaceDN/>
        <w:outlineLvl w:val="1"/>
        <w:rPr>
          <w:rFonts w:eastAsia="MS Gothic"/>
          <w:b/>
          <w:bCs/>
          <w:lang w:eastAsia="en-US" w:bidi="ar-SA"/>
        </w:rPr>
      </w:pPr>
      <w:bookmarkStart w:id="41" w:name="_Toc130825228"/>
      <w:r w:rsidRPr="00C020B8">
        <w:rPr>
          <w:rFonts w:eastAsia="MS Gothic"/>
          <w:b/>
          <w:bCs/>
          <w:lang w:eastAsia="en-US" w:bidi="ar-SA"/>
        </w:rPr>
        <w:t>Observation</w:t>
      </w:r>
      <w:bookmarkEnd w:id="41"/>
      <w:r w:rsidRPr="00C020B8">
        <w:rPr>
          <w:rFonts w:eastAsia="MS Gothic"/>
          <w:b/>
          <w:bCs/>
          <w:lang w:eastAsia="en-US" w:bidi="ar-SA"/>
        </w:rPr>
        <w:t xml:space="preserve"> </w:t>
      </w:r>
    </w:p>
    <w:p w14:paraId="097D2298" w14:textId="5B7E949C" w:rsidR="00BB4B6F" w:rsidRPr="00C020B8" w:rsidRDefault="00BB4B6F" w:rsidP="00BB4B6F">
      <w:pPr>
        <w:widowControl/>
        <w:autoSpaceDE/>
        <w:autoSpaceDN/>
        <w:jc w:val="both"/>
        <w:rPr>
          <w:rFonts w:eastAsia="Calibri"/>
          <w:lang w:eastAsia="en-US" w:bidi="ar-SA"/>
        </w:rPr>
      </w:pPr>
      <w:r w:rsidRPr="00C020B8">
        <w:rPr>
          <w:rFonts w:eastAsia="Calibri"/>
          <w:lang w:eastAsia="en-US" w:bidi="ar-SA"/>
        </w:rPr>
        <w:t xml:space="preserve">Observations are used to assess </w:t>
      </w:r>
      <w:r w:rsidR="00CE36B9" w:rsidRPr="00C020B8">
        <w:rPr>
          <w:rFonts w:eastAsia="Calibri"/>
          <w:lang w:eastAsia="en-US" w:bidi="ar-SA"/>
        </w:rPr>
        <w:t>Candidate</w:t>
      </w:r>
      <w:r w:rsidRPr="00C020B8">
        <w:rPr>
          <w:rFonts w:eastAsia="Calibri"/>
          <w:lang w:eastAsia="en-US" w:bidi="ar-SA"/>
        </w:rPr>
        <w:t xml:space="preserve">s’ performance as they carry out normal work activities in accordance with the </w:t>
      </w:r>
      <w:r w:rsidR="003E7BAD">
        <w:rPr>
          <w:rFonts w:eastAsia="Calibri"/>
          <w:lang w:eastAsia="en-US" w:bidi="ar-SA"/>
        </w:rPr>
        <w:t>Standard(s).</w:t>
      </w:r>
      <w:r w:rsidRPr="00C020B8">
        <w:rPr>
          <w:rFonts w:eastAsia="Calibri"/>
          <w:lang w:eastAsia="en-US" w:bidi="ar-SA"/>
        </w:rPr>
        <w:t xml:space="preserve">  Observation can allow an Assessor to assess a range of criteria, for example:</w:t>
      </w:r>
    </w:p>
    <w:p w14:paraId="20A4DED0" w14:textId="77777777" w:rsidR="00BB4B6F" w:rsidRPr="00C020B8" w:rsidRDefault="00BB4B6F" w:rsidP="00BB4B6F">
      <w:pPr>
        <w:widowControl/>
        <w:autoSpaceDE/>
        <w:autoSpaceDN/>
        <w:jc w:val="both"/>
        <w:rPr>
          <w:rFonts w:eastAsia="Calibri"/>
          <w:lang w:eastAsia="en-US" w:bidi="ar-SA"/>
        </w:rPr>
      </w:pPr>
    </w:p>
    <w:p w14:paraId="700490E0" w14:textId="443DCED2" w:rsidR="00BB4B6F" w:rsidRPr="00C020B8" w:rsidRDefault="00BB4B6F" w:rsidP="00BB4B6F">
      <w:pPr>
        <w:widowControl/>
        <w:numPr>
          <w:ilvl w:val="0"/>
          <w:numId w:val="11"/>
        </w:numPr>
        <w:autoSpaceDE/>
        <w:autoSpaceDN/>
        <w:jc w:val="both"/>
        <w:rPr>
          <w:rFonts w:eastAsia="Calibri"/>
          <w:lang w:eastAsia="en-US" w:bidi="ar-SA"/>
        </w:rPr>
      </w:pPr>
      <w:r w:rsidRPr="00C020B8">
        <w:rPr>
          <w:rFonts w:eastAsia="Calibri"/>
          <w:lang w:eastAsia="en-US" w:bidi="ar-SA"/>
        </w:rPr>
        <w:t xml:space="preserve">That the </w:t>
      </w:r>
      <w:r w:rsidR="00CE36B9" w:rsidRPr="00C020B8">
        <w:rPr>
          <w:rFonts w:eastAsia="Calibri"/>
          <w:lang w:eastAsia="en-US" w:bidi="ar-SA"/>
        </w:rPr>
        <w:t>Candidate</w:t>
      </w:r>
      <w:r w:rsidRPr="00C020B8">
        <w:rPr>
          <w:rFonts w:eastAsia="Calibri"/>
          <w:lang w:eastAsia="en-US" w:bidi="ar-SA"/>
        </w:rPr>
        <w:t>s are following the correct procedures and job specifications.</w:t>
      </w:r>
    </w:p>
    <w:p w14:paraId="7A36CDDE" w14:textId="74E8F7AF" w:rsidR="00BB4B6F" w:rsidRPr="00C020B8" w:rsidRDefault="00BB4B6F" w:rsidP="00BB4B6F">
      <w:pPr>
        <w:widowControl/>
        <w:numPr>
          <w:ilvl w:val="0"/>
          <w:numId w:val="11"/>
        </w:numPr>
        <w:autoSpaceDE/>
        <w:autoSpaceDN/>
        <w:jc w:val="both"/>
        <w:rPr>
          <w:rFonts w:eastAsia="Calibri"/>
          <w:lang w:eastAsia="en-US" w:bidi="ar-SA"/>
        </w:rPr>
      </w:pPr>
      <w:r w:rsidRPr="00C020B8">
        <w:rPr>
          <w:rFonts w:eastAsia="Calibri"/>
          <w:lang w:eastAsia="en-US" w:bidi="ar-SA"/>
        </w:rPr>
        <w:t xml:space="preserve">That </w:t>
      </w:r>
      <w:r w:rsidR="00CE36B9" w:rsidRPr="00C020B8">
        <w:rPr>
          <w:rFonts w:eastAsia="Calibri"/>
          <w:lang w:eastAsia="en-US" w:bidi="ar-SA"/>
        </w:rPr>
        <w:t>Candidate</w:t>
      </w:r>
      <w:r w:rsidRPr="00C020B8">
        <w:rPr>
          <w:rFonts w:eastAsia="Calibri"/>
          <w:lang w:eastAsia="en-US" w:bidi="ar-SA"/>
        </w:rPr>
        <w:t>s are following safe systems of work.</w:t>
      </w:r>
    </w:p>
    <w:p w14:paraId="2384BE74" w14:textId="77777777" w:rsidR="00BB4B6F" w:rsidRPr="00C020B8" w:rsidRDefault="00BB4B6F" w:rsidP="00BB4B6F">
      <w:pPr>
        <w:widowControl/>
        <w:numPr>
          <w:ilvl w:val="0"/>
          <w:numId w:val="11"/>
        </w:numPr>
        <w:autoSpaceDE/>
        <w:autoSpaceDN/>
        <w:jc w:val="both"/>
        <w:rPr>
          <w:rFonts w:eastAsia="Calibri"/>
          <w:lang w:eastAsia="en-US" w:bidi="ar-SA"/>
        </w:rPr>
      </w:pPr>
      <w:r w:rsidRPr="00C020B8">
        <w:rPr>
          <w:rFonts w:eastAsia="Calibri"/>
          <w:lang w:eastAsia="en-US" w:bidi="ar-SA"/>
        </w:rPr>
        <w:t xml:space="preserve">That communication with colleagues and clients is effective. </w:t>
      </w:r>
    </w:p>
    <w:p w14:paraId="368B24E9" w14:textId="77777777" w:rsidR="00BB4B6F" w:rsidRPr="00C020B8" w:rsidRDefault="00BB4B6F" w:rsidP="00BB4B6F">
      <w:pPr>
        <w:widowControl/>
        <w:autoSpaceDE/>
        <w:autoSpaceDN/>
        <w:jc w:val="both"/>
        <w:rPr>
          <w:rFonts w:eastAsia="Calibri"/>
          <w:lang w:eastAsia="en-US" w:bidi="ar-SA"/>
        </w:rPr>
      </w:pPr>
    </w:p>
    <w:p w14:paraId="1313BE09" w14:textId="5D05A963"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It is not normally acceptable for </w:t>
      </w:r>
      <w:r w:rsidR="00CE36B9" w:rsidRPr="00C020B8">
        <w:rPr>
          <w:rFonts w:eastAsia="Calibri"/>
          <w:lang w:eastAsia="en-US" w:bidi="ar-SA"/>
        </w:rPr>
        <w:t>Candidate</w:t>
      </w:r>
      <w:r w:rsidRPr="00C020B8">
        <w:rPr>
          <w:rFonts w:eastAsia="Calibri"/>
          <w:lang w:eastAsia="en-US" w:bidi="ar-SA"/>
        </w:rPr>
        <w:t>s to record Assessor observations: if this is done, then it has the status of a Personal Statement.</w:t>
      </w:r>
    </w:p>
    <w:p w14:paraId="776E2C5E" w14:textId="77777777" w:rsidR="00BB4B6F" w:rsidRPr="00C020B8" w:rsidRDefault="00BB4B6F" w:rsidP="00BB4B6F">
      <w:pPr>
        <w:widowControl/>
        <w:autoSpaceDE/>
        <w:autoSpaceDN/>
        <w:jc w:val="both"/>
        <w:rPr>
          <w:rFonts w:eastAsia="Calibri"/>
          <w:lang w:eastAsia="en-US" w:bidi="ar-SA"/>
        </w:rPr>
      </w:pPr>
    </w:p>
    <w:p w14:paraId="58A90ED4" w14:textId="41CA47A6" w:rsidR="00BB4B6F" w:rsidRPr="00C020B8" w:rsidRDefault="00BB4B6F" w:rsidP="00BB4B6F">
      <w:pPr>
        <w:widowControl/>
        <w:adjustRightInd w:val="0"/>
        <w:jc w:val="both"/>
        <w:rPr>
          <w:rFonts w:eastAsia="Calibri"/>
          <w:color w:val="FF0000"/>
          <w:lang w:eastAsia="en-US" w:bidi="ar-SA"/>
        </w:rPr>
      </w:pPr>
      <w:r w:rsidRPr="00C020B8">
        <w:rPr>
          <w:rFonts w:eastAsia="Calibri"/>
          <w:lang w:eastAsia="en-US" w:bidi="ar-SA"/>
        </w:rPr>
        <w:t>It is expected that observations will be carried out by a qualified, occupationally competent Assessor or by an Expert Witness (EW) acting on behalf of the appointed Assessor.</w:t>
      </w:r>
    </w:p>
    <w:p w14:paraId="68AABE71" w14:textId="77777777" w:rsidR="00BB4B6F" w:rsidRPr="00C020B8" w:rsidRDefault="00BB4B6F" w:rsidP="00BB4B6F">
      <w:pPr>
        <w:widowControl/>
        <w:adjustRightInd w:val="0"/>
        <w:jc w:val="both"/>
        <w:rPr>
          <w:rFonts w:eastAsia="Calibri"/>
          <w:lang w:eastAsia="en-US" w:bidi="ar-SA"/>
        </w:rPr>
      </w:pPr>
    </w:p>
    <w:p w14:paraId="7958F6AC" w14:textId="76C1013E" w:rsidR="00BB4B6F" w:rsidRPr="00C020B8" w:rsidRDefault="00BB4B6F" w:rsidP="00BB4B6F">
      <w:pPr>
        <w:widowControl/>
        <w:autoSpaceDE/>
        <w:autoSpaceDN/>
        <w:jc w:val="both"/>
        <w:rPr>
          <w:rFonts w:eastAsia="Calibri"/>
          <w:lang w:eastAsia="en-US" w:bidi="ar-SA"/>
        </w:rPr>
      </w:pPr>
      <w:r w:rsidRPr="00C020B8">
        <w:rPr>
          <w:rFonts w:eastAsia="Calibri"/>
          <w:lang w:eastAsia="en-US" w:bidi="ar-SA"/>
        </w:rPr>
        <w:t>Records must be retained of what has been observed and how this relates to the Standard(s) being assessed.</w:t>
      </w:r>
    </w:p>
    <w:p w14:paraId="64FC2DD3" w14:textId="77777777" w:rsidR="00BB4B6F" w:rsidRPr="00C020B8" w:rsidRDefault="00BB4B6F" w:rsidP="00BB4B6F">
      <w:pPr>
        <w:widowControl/>
        <w:adjustRightInd w:val="0"/>
        <w:jc w:val="both"/>
        <w:rPr>
          <w:rFonts w:eastAsia="Calibri"/>
          <w:lang w:eastAsia="en-US" w:bidi="ar-SA"/>
        </w:rPr>
      </w:pPr>
    </w:p>
    <w:p w14:paraId="3976F5E8" w14:textId="77777777" w:rsidR="00BB4B6F" w:rsidRPr="00C020B8" w:rsidRDefault="00BB4B6F" w:rsidP="00BB4B6F">
      <w:pPr>
        <w:keepNext/>
        <w:keepLines/>
        <w:widowControl/>
        <w:autoSpaceDE/>
        <w:autoSpaceDN/>
        <w:outlineLvl w:val="1"/>
        <w:rPr>
          <w:rFonts w:eastAsia="MS Gothic"/>
          <w:b/>
          <w:bCs/>
          <w:lang w:eastAsia="en-US" w:bidi="ar-SA"/>
        </w:rPr>
      </w:pPr>
      <w:bookmarkStart w:id="42" w:name="_Toc130825229"/>
      <w:r w:rsidRPr="00C020B8">
        <w:rPr>
          <w:rFonts w:eastAsia="MS Gothic"/>
          <w:b/>
          <w:bCs/>
          <w:lang w:eastAsia="en-US" w:bidi="ar-SA"/>
        </w:rPr>
        <w:lastRenderedPageBreak/>
        <w:t>Questioning</w:t>
      </w:r>
      <w:bookmarkEnd w:id="42"/>
    </w:p>
    <w:p w14:paraId="23C4A198" w14:textId="77777777" w:rsidR="00BB4B6F" w:rsidRPr="00C020B8" w:rsidRDefault="00BB4B6F" w:rsidP="00BB4B6F">
      <w:pPr>
        <w:widowControl/>
        <w:adjustRightInd w:val="0"/>
        <w:jc w:val="both"/>
        <w:rPr>
          <w:rFonts w:eastAsia="Calibri"/>
          <w:lang w:eastAsia="en-US" w:bidi="ar-SA"/>
        </w:rPr>
      </w:pPr>
      <w:r w:rsidRPr="00C020B8">
        <w:rPr>
          <w:rFonts w:eastAsia="Calibri"/>
          <w:lang w:eastAsia="en-US" w:bidi="ar-SA"/>
        </w:rPr>
        <w:t>Assessment of knowledge and understanding will typically cover knowledge of facts and procedures, understanding of principles and concepts, application of principles and procedures.</w:t>
      </w:r>
    </w:p>
    <w:p w14:paraId="497815AA" w14:textId="77777777" w:rsidR="00BB4B6F" w:rsidRPr="00C020B8" w:rsidRDefault="00BB4B6F" w:rsidP="00BB4B6F">
      <w:pPr>
        <w:widowControl/>
        <w:adjustRightInd w:val="0"/>
        <w:jc w:val="both"/>
        <w:rPr>
          <w:rFonts w:eastAsia="Calibri"/>
          <w:lang w:eastAsia="en-US" w:bidi="ar-SA"/>
        </w:rPr>
      </w:pPr>
    </w:p>
    <w:p w14:paraId="1EE4059C" w14:textId="77777777" w:rsidR="00BB4B6F" w:rsidRPr="00C020B8" w:rsidRDefault="00BB4B6F" w:rsidP="00BB4B6F">
      <w:pPr>
        <w:widowControl/>
        <w:autoSpaceDE/>
        <w:autoSpaceDN/>
        <w:jc w:val="both"/>
        <w:rPr>
          <w:rFonts w:eastAsia="Times New Roman"/>
          <w:lang w:bidi="ar-SA"/>
        </w:rPr>
      </w:pPr>
      <w:r w:rsidRPr="00C020B8">
        <w:rPr>
          <w:rFonts w:eastAsia="Times New Roman"/>
          <w:lang w:bidi="ar-SA"/>
        </w:rPr>
        <w:t>Questions can be used to:</w:t>
      </w:r>
    </w:p>
    <w:p w14:paraId="2CB7E5E6" w14:textId="77777777" w:rsidR="00BB4B6F" w:rsidRPr="00C020B8" w:rsidRDefault="00BB4B6F" w:rsidP="00BB4B6F">
      <w:pPr>
        <w:widowControl/>
        <w:autoSpaceDE/>
        <w:autoSpaceDN/>
        <w:jc w:val="both"/>
        <w:rPr>
          <w:rFonts w:eastAsia="Times New Roman"/>
          <w:lang w:bidi="ar-SA"/>
        </w:rPr>
      </w:pPr>
    </w:p>
    <w:p w14:paraId="25FB732F" w14:textId="5F650941" w:rsidR="00BB4B6F" w:rsidRPr="00C020B8" w:rsidRDefault="00BB4B6F" w:rsidP="00BB4B6F">
      <w:pPr>
        <w:widowControl/>
        <w:numPr>
          <w:ilvl w:val="0"/>
          <w:numId w:val="13"/>
        </w:numPr>
        <w:autoSpaceDE/>
        <w:autoSpaceDN/>
        <w:jc w:val="both"/>
        <w:rPr>
          <w:rFonts w:eastAsia="Times New Roman"/>
          <w:lang w:bidi="ar-SA"/>
        </w:rPr>
      </w:pPr>
      <w:r w:rsidRPr="00C020B8">
        <w:rPr>
          <w:rFonts w:eastAsia="Times New Roman"/>
          <w:lang w:bidi="ar-SA"/>
        </w:rPr>
        <w:t xml:space="preserve">Confirm that the evidence collected by </w:t>
      </w:r>
      <w:r w:rsidR="00CE36B9" w:rsidRPr="00C020B8">
        <w:rPr>
          <w:rFonts w:eastAsia="Times New Roman"/>
          <w:lang w:bidi="ar-SA"/>
        </w:rPr>
        <w:t>Candidate</w:t>
      </w:r>
      <w:r w:rsidRPr="00C020B8">
        <w:rPr>
          <w:rFonts w:eastAsia="Times New Roman"/>
          <w:lang w:bidi="ar-SA"/>
        </w:rPr>
        <w:t>s is valid and authentic.</w:t>
      </w:r>
    </w:p>
    <w:p w14:paraId="3A7EA89E" w14:textId="0567D545" w:rsidR="00BB4B6F" w:rsidRPr="00C020B8" w:rsidRDefault="00BB4B6F" w:rsidP="00BB4B6F">
      <w:pPr>
        <w:widowControl/>
        <w:numPr>
          <w:ilvl w:val="0"/>
          <w:numId w:val="13"/>
        </w:numPr>
        <w:autoSpaceDE/>
        <w:autoSpaceDN/>
        <w:jc w:val="both"/>
        <w:rPr>
          <w:rFonts w:eastAsia="Times New Roman"/>
          <w:lang w:bidi="ar-SA"/>
        </w:rPr>
      </w:pPr>
      <w:r w:rsidRPr="00C020B8">
        <w:rPr>
          <w:rFonts w:eastAsia="Times New Roman"/>
          <w:lang w:bidi="ar-SA"/>
        </w:rPr>
        <w:t xml:space="preserve">Fill gaps in evidence where </w:t>
      </w:r>
      <w:r w:rsidR="00CE36B9" w:rsidRPr="00C020B8">
        <w:rPr>
          <w:rFonts w:eastAsia="Times New Roman"/>
          <w:lang w:bidi="ar-SA"/>
        </w:rPr>
        <w:t>Candidate</w:t>
      </w:r>
      <w:r w:rsidRPr="00C020B8">
        <w:rPr>
          <w:rFonts w:eastAsia="Times New Roman"/>
          <w:lang w:bidi="ar-SA"/>
        </w:rPr>
        <w:t>s have not been able to demonstrate specific skills as they did not occur when they were being observed.</w:t>
      </w:r>
    </w:p>
    <w:p w14:paraId="2817875F" w14:textId="2DBB3C94" w:rsidR="00BB4B6F" w:rsidRPr="00C020B8" w:rsidRDefault="00BB4B6F" w:rsidP="00BB4B6F">
      <w:pPr>
        <w:widowControl/>
        <w:numPr>
          <w:ilvl w:val="0"/>
          <w:numId w:val="13"/>
        </w:numPr>
        <w:autoSpaceDE/>
        <w:autoSpaceDN/>
        <w:jc w:val="both"/>
        <w:rPr>
          <w:rFonts w:eastAsia="Times New Roman"/>
          <w:lang w:bidi="ar-SA"/>
        </w:rPr>
      </w:pPr>
      <w:r w:rsidRPr="00C020B8">
        <w:rPr>
          <w:rFonts w:eastAsia="Times New Roman"/>
          <w:lang w:bidi="ar-SA"/>
        </w:rPr>
        <w:t xml:space="preserve">Confirm that </w:t>
      </w:r>
      <w:r w:rsidR="00CE36B9" w:rsidRPr="00C020B8">
        <w:rPr>
          <w:rFonts w:eastAsia="Times New Roman"/>
          <w:lang w:bidi="ar-SA"/>
        </w:rPr>
        <w:t>Candidate</w:t>
      </w:r>
      <w:r w:rsidRPr="00C020B8">
        <w:rPr>
          <w:rFonts w:eastAsia="Times New Roman"/>
          <w:lang w:bidi="ar-SA"/>
        </w:rPr>
        <w:t xml:space="preserve">s know </w:t>
      </w:r>
      <w:r w:rsidRPr="00C020B8">
        <w:rPr>
          <w:rFonts w:eastAsia="Times New Roman"/>
          <w:b/>
          <w:i/>
          <w:lang w:bidi="ar-SA"/>
        </w:rPr>
        <w:t>why</w:t>
      </w:r>
      <w:r w:rsidRPr="00C020B8">
        <w:rPr>
          <w:rFonts w:eastAsia="Times New Roman"/>
          <w:lang w:bidi="ar-SA"/>
        </w:rPr>
        <w:t xml:space="preserve"> they are doing something.</w:t>
      </w:r>
    </w:p>
    <w:p w14:paraId="29B1166A" w14:textId="0DF4187D" w:rsidR="00BB4B6F" w:rsidRPr="00C020B8" w:rsidRDefault="00BB4B6F" w:rsidP="00BB4B6F">
      <w:pPr>
        <w:widowControl/>
        <w:numPr>
          <w:ilvl w:val="0"/>
          <w:numId w:val="13"/>
        </w:numPr>
        <w:autoSpaceDE/>
        <w:autoSpaceDN/>
        <w:jc w:val="both"/>
        <w:rPr>
          <w:rFonts w:eastAsia="Times New Roman"/>
          <w:lang w:bidi="ar-SA"/>
        </w:rPr>
      </w:pPr>
      <w:r w:rsidRPr="00C020B8">
        <w:rPr>
          <w:rFonts w:eastAsia="Times New Roman"/>
          <w:lang w:bidi="ar-SA"/>
        </w:rPr>
        <w:t xml:space="preserve">Assess if the </w:t>
      </w:r>
      <w:r w:rsidR="00CE36B9" w:rsidRPr="00C020B8">
        <w:rPr>
          <w:rFonts w:eastAsia="Times New Roman"/>
          <w:lang w:bidi="ar-SA"/>
        </w:rPr>
        <w:t>Candidate</w:t>
      </w:r>
      <w:r w:rsidRPr="00C020B8">
        <w:rPr>
          <w:rFonts w:eastAsia="Times New Roman"/>
          <w:lang w:bidi="ar-SA"/>
        </w:rPr>
        <w:t xml:space="preserve">s have the relevant knowledge/experience to deal with </w:t>
      </w:r>
      <w:proofErr w:type="gramStart"/>
      <w:r w:rsidRPr="00C020B8">
        <w:rPr>
          <w:rFonts w:eastAsia="Times New Roman"/>
          <w:lang w:bidi="ar-SA"/>
        </w:rPr>
        <w:t>non–standard</w:t>
      </w:r>
      <w:proofErr w:type="gramEnd"/>
      <w:r w:rsidRPr="00C020B8">
        <w:rPr>
          <w:rFonts w:eastAsia="Times New Roman"/>
          <w:lang w:bidi="ar-SA"/>
        </w:rPr>
        <w:t xml:space="preserve"> or contingency situations.</w:t>
      </w:r>
    </w:p>
    <w:p w14:paraId="09B59E41" w14:textId="77777777" w:rsidR="00BB4B6F" w:rsidRPr="00C020B8" w:rsidRDefault="00BB4B6F" w:rsidP="00BB4B6F">
      <w:pPr>
        <w:widowControl/>
        <w:autoSpaceDE/>
        <w:autoSpaceDN/>
        <w:jc w:val="both"/>
        <w:rPr>
          <w:rFonts w:eastAsia="Times New Roman"/>
          <w:lang w:bidi="ar-SA"/>
        </w:rPr>
      </w:pPr>
    </w:p>
    <w:p w14:paraId="1784CA81" w14:textId="331BB1D4" w:rsidR="00BB4B6F" w:rsidRPr="00C020B8" w:rsidRDefault="00BB4B6F" w:rsidP="00BB4B6F">
      <w:pPr>
        <w:widowControl/>
        <w:adjustRightInd w:val="0"/>
        <w:jc w:val="both"/>
        <w:rPr>
          <w:rFonts w:eastAsia="Calibri"/>
          <w:lang w:eastAsia="en-US" w:bidi="ar-SA"/>
        </w:rPr>
      </w:pPr>
      <w:r w:rsidRPr="00C020B8">
        <w:rPr>
          <w:rFonts w:eastAsia="Calibri"/>
          <w:lang w:eastAsia="en-US" w:bidi="ar-SA"/>
        </w:rPr>
        <w:t xml:space="preserve">Questions can be written and/or oral.  Assessors must retain a record of all the questions asked, together with the </w:t>
      </w:r>
      <w:r w:rsidR="00CE36B9" w:rsidRPr="00C020B8">
        <w:rPr>
          <w:rFonts w:eastAsia="Calibri"/>
          <w:lang w:eastAsia="en-US" w:bidi="ar-SA"/>
        </w:rPr>
        <w:t>Candidate</w:t>
      </w:r>
      <w:r w:rsidRPr="00C020B8">
        <w:rPr>
          <w:rFonts w:eastAsia="Calibri"/>
          <w:lang w:eastAsia="en-US" w:bidi="ar-SA"/>
        </w:rPr>
        <w:t>s’ responses.</w:t>
      </w:r>
    </w:p>
    <w:p w14:paraId="5C5974C1" w14:textId="77777777" w:rsidR="00BB4B6F" w:rsidRPr="00C020B8" w:rsidRDefault="00BB4B6F" w:rsidP="00BB4B6F">
      <w:pPr>
        <w:widowControl/>
        <w:autoSpaceDE/>
        <w:autoSpaceDN/>
        <w:jc w:val="both"/>
        <w:rPr>
          <w:rFonts w:eastAsia="Calibri"/>
          <w:lang w:eastAsia="en-US" w:bidi="ar-SA"/>
        </w:rPr>
      </w:pPr>
    </w:p>
    <w:p w14:paraId="6EE0EB4C" w14:textId="77777777" w:rsidR="00BB4B6F" w:rsidRPr="00C020B8" w:rsidRDefault="00BB4B6F" w:rsidP="00BB4B6F">
      <w:pPr>
        <w:keepNext/>
        <w:keepLines/>
        <w:widowControl/>
        <w:autoSpaceDE/>
        <w:autoSpaceDN/>
        <w:outlineLvl w:val="1"/>
        <w:rPr>
          <w:rFonts w:eastAsia="MS Gothic"/>
          <w:b/>
          <w:bCs/>
          <w:lang w:eastAsia="en-US" w:bidi="ar-SA"/>
        </w:rPr>
      </w:pPr>
      <w:bookmarkStart w:id="43" w:name="_Toc130825230"/>
      <w:r w:rsidRPr="00C020B8">
        <w:rPr>
          <w:rFonts w:eastAsia="MS Gothic"/>
          <w:b/>
          <w:bCs/>
          <w:lang w:eastAsia="en-US" w:bidi="ar-SA"/>
        </w:rPr>
        <w:t>Product Evidence</w:t>
      </w:r>
      <w:bookmarkEnd w:id="43"/>
      <w:r w:rsidRPr="00C020B8">
        <w:rPr>
          <w:rFonts w:eastAsia="MS Gothic"/>
          <w:b/>
          <w:bCs/>
          <w:lang w:eastAsia="en-US" w:bidi="ar-SA"/>
        </w:rPr>
        <w:t xml:space="preserve"> </w:t>
      </w:r>
    </w:p>
    <w:p w14:paraId="45AFC4FC" w14:textId="5C4A7CE8"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In some areas, as </w:t>
      </w:r>
      <w:r w:rsidR="00CE36B9" w:rsidRPr="00C020B8">
        <w:rPr>
          <w:rFonts w:eastAsia="Calibri"/>
          <w:lang w:eastAsia="en-US" w:bidi="ar-SA"/>
        </w:rPr>
        <w:t>Candidate</w:t>
      </w:r>
      <w:r w:rsidRPr="00C020B8">
        <w:rPr>
          <w:rFonts w:eastAsia="Calibri"/>
          <w:lang w:eastAsia="en-US" w:bidi="ar-SA"/>
        </w:rPr>
        <w:t xml:space="preserve">s work towards achieving their </w:t>
      </w:r>
      <w:proofErr w:type="gramStart"/>
      <w:r w:rsidRPr="00C020B8">
        <w:rPr>
          <w:rFonts w:eastAsia="Calibri"/>
          <w:lang w:eastAsia="en-US" w:bidi="ar-SA"/>
        </w:rPr>
        <w:t>qualifications</w:t>
      </w:r>
      <w:proofErr w:type="gramEnd"/>
      <w:r w:rsidRPr="00C020B8">
        <w:rPr>
          <w:rFonts w:eastAsia="Calibri"/>
          <w:lang w:eastAsia="en-US" w:bidi="ar-SA"/>
        </w:rPr>
        <w:t xml:space="preserve"> they will generate evidence in the form of Products of Work (such as Permits, Isolations, Procedures, Daily Log Reports, Handovers). This is particularly the case for vocational and work-based qualifications. Any work product that shows how a </w:t>
      </w:r>
      <w:r w:rsidR="00CE36B9" w:rsidRPr="00C020B8">
        <w:rPr>
          <w:rFonts w:eastAsia="Calibri"/>
          <w:lang w:eastAsia="en-US" w:bidi="ar-SA"/>
        </w:rPr>
        <w:t>Candidate</w:t>
      </w:r>
      <w:r w:rsidRPr="00C020B8">
        <w:rPr>
          <w:rFonts w:eastAsia="Calibri"/>
          <w:lang w:eastAsia="en-US" w:bidi="ar-SA"/>
        </w:rPr>
        <w:t xml:space="preserve"> meets the Performance/Knowledge Criteria can be used as evidence.  Products of Work should be authenticated by the </w:t>
      </w:r>
      <w:r w:rsidR="00CE36B9" w:rsidRPr="00C020B8">
        <w:rPr>
          <w:rFonts w:eastAsia="Calibri"/>
          <w:lang w:eastAsia="en-US" w:bidi="ar-SA"/>
        </w:rPr>
        <w:t>Candidate</w:t>
      </w:r>
      <w:r w:rsidRPr="00C020B8">
        <w:rPr>
          <w:rFonts w:eastAsia="Calibri"/>
          <w:lang w:eastAsia="en-US" w:bidi="ar-SA"/>
        </w:rPr>
        <w:t>, witness on the job or Assessor.</w:t>
      </w:r>
    </w:p>
    <w:p w14:paraId="0324D37D" w14:textId="77777777" w:rsidR="00BB4B6F" w:rsidRPr="00C020B8" w:rsidRDefault="00BB4B6F" w:rsidP="00BB4B6F">
      <w:pPr>
        <w:widowControl/>
        <w:autoSpaceDE/>
        <w:autoSpaceDN/>
        <w:jc w:val="both"/>
        <w:rPr>
          <w:rFonts w:eastAsia="Times New Roman"/>
          <w:lang w:bidi="ar-SA"/>
        </w:rPr>
      </w:pPr>
    </w:p>
    <w:p w14:paraId="36D21104" w14:textId="086E2FAF" w:rsidR="00BB4B6F" w:rsidRPr="00C020B8" w:rsidRDefault="00BB4B6F" w:rsidP="00BB4B6F">
      <w:pPr>
        <w:widowControl/>
        <w:autoSpaceDE/>
        <w:autoSpaceDN/>
        <w:jc w:val="both"/>
        <w:rPr>
          <w:rFonts w:eastAsia="Times New Roman"/>
          <w:lang w:bidi="ar-SA"/>
        </w:rPr>
      </w:pPr>
      <w:r w:rsidRPr="00C020B8">
        <w:rPr>
          <w:rFonts w:eastAsia="Times New Roman"/>
          <w:lang w:bidi="ar-SA"/>
        </w:rPr>
        <w:t xml:space="preserve">Review of product evidence can allow Assessors to assess if </w:t>
      </w:r>
      <w:r w:rsidR="00CE36B9" w:rsidRPr="00C020B8">
        <w:rPr>
          <w:rFonts w:eastAsia="Times New Roman"/>
          <w:lang w:bidi="ar-SA"/>
        </w:rPr>
        <w:t>Candidate</w:t>
      </w:r>
      <w:r w:rsidRPr="00C020B8">
        <w:rPr>
          <w:rFonts w:eastAsia="Times New Roman"/>
          <w:lang w:bidi="ar-SA"/>
        </w:rPr>
        <w:t>s have:</w:t>
      </w:r>
    </w:p>
    <w:p w14:paraId="33E39F8C" w14:textId="77777777" w:rsidR="00BB4B6F" w:rsidRPr="00C020B8" w:rsidRDefault="00BB4B6F" w:rsidP="00BB4B6F">
      <w:pPr>
        <w:widowControl/>
        <w:autoSpaceDE/>
        <w:autoSpaceDN/>
        <w:jc w:val="both"/>
        <w:rPr>
          <w:rFonts w:eastAsia="Times New Roman"/>
          <w:lang w:bidi="ar-SA"/>
        </w:rPr>
      </w:pPr>
    </w:p>
    <w:p w14:paraId="3E6C8737" w14:textId="77777777" w:rsidR="00BB4B6F" w:rsidRPr="00C020B8" w:rsidRDefault="00BB4B6F" w:rsidP="00BB4B6F">
      <w:pPr>
        <w:widowControl/>
        <w:numPr>
          <w:ilvl w:val="0"/>
          <w:numId w:val="12"/>
        </w:numPr>
        <w:autoSpaceDE/>
        <w:autoSpaceDN/>
        <w:jc w:val="both"/>
        <w:rPr>
          <w:rFonts w:eastAsia="Times New Roman"/>
          <w:lang w:bidi="ar-SA"/>
        </w:rPr>
      </w:pPr>
      <w:r w:rsidRPr="00C020B8">
        <w:rPr>
          <w:rFonts w:eastAsia="Times New Roman"/>
          <w:lang w:bidi="ar-SA"/>
        </w:rPr>
        <w:t xml:space="preserve">Carried out the required work activities in accordance with job requirements and </w:t>
      </w:r>
      <w:proofErr w:type="gramStart"/>
      <w:r w:rsidRPr="00C020B8">
        <w:rPr>
          <w:rFonts w:eastAsia="Times New Roman"/>
          <w:lang w:bidi="ar-SA"/>
        </w:rPr>
        <w:t>procedures;</w:t>
      </w:r>
      <w:proofErr w:type="gramEnd"/>
    </w:p>
    <w:p w14:paraId="648C1C26" w14:textId="77777777" w:rsidR="00BB4B6F" w:rsidRPr="00C020B8" w:rsidRDefault="00BB4B6F" w:rsidP="00BB4B6F">
      <w:pPr>
        <w:widowControl/>
        <w:numPr>
          <w:ilvl w:val="0"/>
          <w:numId w:val="12"/>
        </w:numPr>
        <w:autoSpaceDE/>
        <w:autoSpaceDN/>
        <w:jc w:val="both"/>
        <w:rPr>
          <w:rFonts w:eastAsia="Times New Roman"/>
          <w:lang w:bidi="ar-SA"/>
        </w:rPr>
      </w:pPr>
      <w:r w:rsidRPr="00C020B8">
        <w:rPr>
          <w:rFonts w:eastAsia="Times New Roman"/>
          <w:lang w:bidi="ar-SA"/>
        </w:rPr>
        <w:t xml:space="preserve">Made a relevant contribution to the overall job. </w:t>
      </w:r>
    </w:p>
    <w:p w14:paraId="6E20CF78" w14:textId="77777777" w:rsidR="00BB4B6F" w:rsidRPr="00C020B8" w:rsidRDefault="00BB4B6F" w:rsidP="00BB4B6F">
      <w:pPr>
        <w:widowControl/>
        <w:numPr>
          <w:ilvl w:val="0"/>
          <w:numId w:val="12"/>
        </w:numPr>
        <w:autoSpaceDE/>
        <w:autoSpaceDN/>
        <w:jc w:val="both"/>
        <w:rPr>
          <w:rFonts w:eastAsia="Times New Roman"/>
          <w:lang w:bidi="ar-SA"/>
        </w:rPr>
      </w:pPr>
      <w:r w:rsidRPr="00C020B8">
        <w:rPr>
          <w:rFonts w:eastAsia="Times New Roman"/>
          <w:lang w:bidi="ar-SA"/>
        </w:rPr>
        <w:t xml:space="preserve">Completed the paperwork correctly (e.g. Recorded relevant information and completed all required sections). </w:t>
      </w:r>
    </w:p>
    <w:p w14:paraId="7BC41D7C" w14:textId="77777777" w:rsidR="00BB4B6F" w:rsidRPr="00C020B8" w:rsidRDefault="00BB4B6F" w:rsidP="00BB4B6F">
      <w:pPr>
        <w:widowControl/>
        <w:autoSpaceDE/>
        <w:autoSpaceDN/>
        <w:jc w:val="both"/>
        <w:rPr>
          <w:rFonts w:eastAsia="Times New Roman"/>
          <w:lang w:bidi="ar-SA"/>
        </w:rPr>
      </w:pPr>
    </w:p>
    <w:p w14:paraId="2DAC17A8" w14:textId="77777777" w:rsidR="00BB4B6F" w:rsidRPr="00C020B8" w:rsidRDefault="00BB4B6F" w:rsidP="00BB4B6F">
      <w:pPr>
        <w:keepNext/>
        <w:keepLines/>
        <w:widowControl/>
        <w:autoSpaceDE/>
        <w:autoSpaceDN/>
        <w:outlineLvl w:val="1"/>
        <w:rPr>
          <w:rFonts w:eastAsia="MS Gothic"/>
          <w:b/>
          <w:bCs/>
          <w:lang w:eastAsia="en-US" w:bidi="ar-SA"/>
        </w:rPr>
      </w:pPr>
      <w:bookmarkStart w:id="44" w:name="_Toc63247088"/>
      <w:bookmarkStart w:id="45" w:name="_Toc130825231"/>
      <w:r w:rsidRPr="00C020B8">
        <w:rPr>
          <w:rFonts w:eastAsia="MS Gothic"/>
          <w:b/>
          <w:bCs/>
          <w:lang w:eastAsia="en-US" w:bidi="ar-SA"/>
        </w:rPr>
        <w:t>Personal Statement</w:t>
      </w:r>
      <w:bookmarkEnd w:id="44"/>
      <w:bookmarkEnd w:id="45"/>
    </w:p>
    <w:p w14:paraId="3E145A61" w14:textId="45FBB6E3"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Personal Statements are written reports produced by the </w:t>
      </w:r>
      <w:r w:rsidR="00CE36B9" w:rsidRPr="00C020B8">
        <w:rPr>
          <w:rFonts w:eastAsia="Calibri"/>
          <w:lang w:eastAsia="en-US" w:bidi="ar-SA"/>
        </w:rPr>
        <w:t>Candidate</w:t>
      </w:r>
      <w:r w:rsidRPr="00C020B8">
        <w:rPr>
          <w:rFonts w:eastAsia="Calibri"/>
          <w:lang w:eastAsia="en-US" w:bidi="ar-SA"/>
        </w:rPr>
        <w:t xml:space="preserve">, providing details of an activity they have carried out.  Personal Statements should record what was done, how it was done and why it was decided to do the work in this </w:t>
      </w:r>
      <w:proofErr w:type="gramStart"/>
      <w:r w:rsidRPr="00C020B8">
        <w:rPr>
          <w:rFonts w:eastAsia="Calibri"/>
          <w:lang w:eastAsia="en-US" w:bidi="ar-SA"/>
        </w:rPr>
        <w:t>particular way</w:t>
      </w:r>
      <w:proofErr w:type="gramEnd"/>
      <w:r w:rsidRPr="00C020B8">
        <w:rPr>
          <w:rFonts w:eastAsia="Calibri"/>
          <w:lang w:eastAsia="en-US" w:bidi="ar-SA"/>
        </w:rPr>
        <w:t>.  They must be written in such a way that they reference the</w:t>
      </w:r>
      <w:r w:rsidR="003919E1" w:rsidRPr="00C020B8">
        <w:rPr>
          <w:rFonts w:eastAsia="Calibri"/>
          <w:lang w:eastAsia="en-US" w:bidi="ar-SA"/>
        </w:rPr>
        <w:t xml:space="preserve"> performance criteria within the</w:t>
      </w:r>
      <w:r w:rsidRPr="00C020B8">
        <w:rPr>
          <w:rFonts w:eastAsia="Calibri"/>
          <w:lang w:eastAsia="en-US" w:bidi="ar-SA"/>
        </w:rPr>
        <w:t xml:space="preserve"> standard or unit being covered.</w:t>
      </w:r>
    </w:p>
    <w:p w14:paraId="2DDC069E" w14:textId="77777777" w:rsidR="00BB4B6F" w:rsidRPr="00C020B8" w:rsidRDefault="00BB4B6F" w:rsidP="00BB4B6F">
      <w:pPr>
        <w:widowControl/>
        <w:autoSpaceDE/>
        <w:autoSpaceDN/>
        <w:rPr>
          <w:rFonts w:eastAsia="Calibri"/>
          <w:lang w:eastAsia="en-US" w:bidi="ar-SA"/>
        </w:rPr>
      </w:pPr>
    </w:p>
    <w:p w14:paraId="6CF6AAE5" w14:textId="65599FB5"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The Personal Statement does not have to cover the entire activity being carried </w:t>
      </w:r>
      <w:proofErr w:type="gramStart"/>
      <w:r w:rsidRPr="00C020B8">
        <w:rPr>
          <w:rFonts w:eastAsia="Calibri"/>
          <w:lang w:eastAsia="en-US" w:bidi="ar-SA"/>
        </w:rPr>
        <w:t>out, but</w:t>
      </w:r>
      <w:proofErr w:type="gramEnd"/>
      <w:r w:rsidRPr="00C020B8">
        <w:rPr>
          <w:rFonts w:eastAsia="Calibri"/>
          <w:lang w:eastAsia="en-US" w:bidi="ar-SA"/>
        </w:rPr>
        <w:t xml:space="preserve"> should have enough information to detail the Standard(s) it is intended to cover. </w:t>
      </w:r>
    </w:p>
    <w:p w14:paraId="4E0708AE" w14:textId="77777777" w:rsidR="00BB4B6F" w:rsidRPr="00C020B8" w:rsidRDefault="00BB4B6F" w:rsidP="00BB4B6F">
      <w:pPr>
        <w:widowControl/>
        <w:autoSpaceDE/>
        <w:autoSpaceDN/>
        <w:rPr>
          <w:rFonts w:eastAsia="Calibri"/>
          <w:lang w:eastAsia="en-US" w:bidi="ar-SA"/>
        </w:rPr>
      </w:pPr>
    </w:p>
    <w:p w14:paraId="7EE4CDDA" w14:textId="0CE500C4"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Records must be retained of the Personal Statement and how this relates to the </w:t>
      </w:r>
      <w:r w:rsidR="003E7BAD">
        <w:rPr>
          <w:rFonts w:eastAsia="Calibri"/>
          <w:lang w:eastAsia="en-US" w:bidi="ar-SA"/>
        </w:rPr>
        <w:t>Standard(s).</w:t>
      </w:r>
      <w:r w:rsidRPr="00C020B8">
        <w:rPr>
          <w:rFonts w:eastAsia="Calibri"/>
          <w:lang w:eastAsia="en-US" w:bidi="ar-SA"/>
        </w:rPr>
        <w:t xml:space="preserve"> </w:t>
      </w:r>
    </w:p>
    <w:p w14:paraId="2ABA31D0" w14:textId="77777777" w:rsidR="00BB4B6F" w:rsidRPr="00C020B8" w:rsidRDefault="00BB4B6F" w:rsidP="00BB4B6F">
      <w:pPr>
        <w:widowControl/>
        <w:autoSpaceDE/>
        <w:autoSpaceDN/>
        <w:rPr>
          <w:rFonts w:eastAsia="Calibri"/>
          <w:lang w:eastAsia="en-US" w:bidi="ar-SA"/>
        </w:rPr>
      </w:pPr>
    </w:p>
    <w:p w14:paraId="4415B7BA" w14:textId="77777777" w:rsidR="00BB4B6F" w:rsidRPr="00C020B8" w:rsidRDefault="00BB4B6F" w:rsidP="00BB4B6F">
      <w:pPr>
        <w:keepNext/>
        <w:keepLines/>
        <w:widowControl/>
        <w:autoSpaceDE/>
        <w:autoSpaceDN/>
        <w:outlineLvl w:val="1"/>
        <w:rPr>
          <w:rFonts w:eastAsia="MS Gothic"/>
          <w:b/>
          <w:bCs/>
          <w:lang w:eastAsia="en-US" w:bidi="ar-SA"/>
        </w:rPr>
      </w:pPr>
      <w:bookmarkStart w:id="46" w:name="_Toc63247090"/>
      <w:bookmarkStart w:id="47" w:name="_Toc130825232"/>
      <w:r w:rsidRPr="00C020B8">
        <w:rPr>
          <w:rFonts w:eastAsia="MS Gothic"/>
          <w:b/>
          <w:bCs/>
          <w:lang w:eastAsia="en-US" w:bidi="ar-SA"/>
        </w:rPr>
        <w:t>Witness Testimony</w:t>
      </w:r>
      <w:bookmarkEnd w:id="46"/>
      <w:bookmarkEnd w:id="47"/>
    </w:p>
    <w:p w14:paraId="10363922" w14:textId="55242D6B" w:rsidR="00BB4B6F" w:rsidRPr="00C020B8" w:rsidRDefault="00BB4B6F" w:rsidP="00BB4B6F">
      <w:pPr>
        <w:widowControl/>
        <w:autoSpaceDE/>
        <w:autoSpaceDN/>
        <w:rPr>
          <w:rFonts w:eastAsia="Calibri"/>
          <w:b/>
          <w:bCs/>
          <w:i/>
          <w:iCs/>
          <w:lang w:eastAsia="en-US" w:bidi="ar-SA"/>
        </w:rPr>
      </w:pPr>
      <w:r w:rsidRPr="00C020B8">
        <w:rPr>
          <w:rFonts w:eastAsia="Calibri"/>
          <w:lang w:eastAsia="en-US" w:bidi="ar-SA"/>
        </w:rPr>
        <w:t xml:space="preserve">Witness Testimonies are written reports produced by a technically competent person(s) who have observed the </w:t>
      </w:r>
      <w:r w:rsidR="00CE36B9" w:rsidRPr="00C020B8">
        <w:rPr>
          <w:rFonts w:eastAsia="Calibri"/>
          <w:lang w:eastAsia="en-US" w:bidi="ar-SA"/>
        </w:rPr>
        <w:t>Candidate</w:t>
      </w:r>
      <w:r w:rsidRPr="00C020B8">
        <w:rPr>
          <w:rFonts w:eastAsia="Calibri"/>
          <w:lang w:eastAsia="en-US" w:bidi="ar-SA"/>
        </w:rPr>
        <w:t xml:space="preserve"> undertake an activity.  A Witness Testimony should not be used by itself to make a competency </w:t>
      </w:r>
      <w:proofErr w:type="gramStart"/>
      <w:r w:rsidRPr="00C020B8">
        <w:rPr>
          <w:rFonts w:eastAsia="Calibri"/>
          <w:lang w:eastAsia="en-US" w:bidi="ar-SA"/>
        </w:rPr>
        <w:t>decision, and</w:t>
      </w:r>
      <w:proofErr w:type="gramEnd"/>
      <w:r w:rsidRPr="00C020B8">
        <w:rPr>
          <w:rFonts w:eastAsia="Calibri"/>
          <w:lang w:eastAsia="en-US" w:bidi="ar-SA"/>
        </w:rPr>
        <w:t xml:space="preserve"> should be supplement by the Assessor reviewing the products of work or discussing the knowledge and understanding with the </w:t>
      </w:r>
      <w:r w:rsidR="00CE36B9" w:rsidRPr="00C020B8">
        <w:rPr>
          <w:rFonts w:eastAsia="Calibri"/>
          <w:lang w:eastAsia="en-US" w:bidi="ar-SA"/>
        </w:rPr>
        <w:t>Candidate</w:t>
      </w:r>
      <w:r w:rsidRPr="00C020B8">
        <w:rPr>
          <w:rFonts w:eastAsia="Calibri"/>
          <w:lang w:eastAsia="en-US" w:bidi="ar-SA"/>
        </w:rPr>
        <w:t xml:space="preserve">. </w:t>
      </w:r>
    </w:p>
    <w:p w14:paraId="0B3A89AC" w14:textId="77777777" w:rsidR="00BB4B6F" w:rsidRPr="00C020B8" w:rsidRDefault="00BB4B6F" w:rsidP="00BB4B6F">
      <w:pPr>
        <w:widowControl/>
        <w:autoSpaceDE/>
        <w:autoSpaceDN/>
        <w:rPr>
          <w:rFonts w:eastAsia="Calibri"/>
          <w:lang w:eastAsia="en-US" w:bidi="ar-SA"/>
        </w:rPr>
      </w:pPr>
    </w:p>
    <w:p w14:paraId="5FC0476D" w14:textId="60FA9977" w:rsidR="00BB4B6F" w:rsidRPr="00C020B8" w:rsidRDefault="00BB4B6F" w:rsidP="00BB4B6F">
      <w:pPr>
        <w:widowControl/>
        <w:autoSpaceDE/>
        <w:autoSpaceDN/>
        <w:rPr>
          <w:rFonts w:eastAsia="Calibri"/>
          <w:lang w:eastAsia="en-US" w:bidi="ar-SA"/>
        </w:rPr>
      </w:pPr>
      <w:r w:rsidRPr="00C020B8">
        <w:rPr>
          <w:rFonts w:eastAsia="Calibri"/>
          <w:lang w:eastAsia="en-US" w:bidi="ar-SA"/>
        </w:rPr>
        <w:lastRenderedPageBreak/>
        <w:t xml:space="preserve">Witness Testimonies must be capable of being authenticated. To authenticate a Witness Testimony, a Signature List should be kept by the </w:t>
      </w:r>
      <w:r w:rsidR="00CE36B9" w:rsidRPr="00C020B8">
        <w:rPr>
          <w:rFonts w:eastAsia="Calibri"/>
          <w:lang w:eastAsia="en-US" w:bidi="ar-SA"/>
        </w:rPr>
        <w:t>Candidate</w:t>
      </w:r>
      <w:r w:rsidRPr="00C020B8">
        <w:rPr>
          <w:rFonts w:eastAsia="Calibri"/>
          <w:lang w:eastAsia="en-US" w:bidi="ar-SA"/>
        </w:rPr>
        <w:t xml:space="preserve"> with details of all witnesses involved in the process. </w:t>
      </w:r>
    </w:p>
    <w:p w14:paraId="6E81066C" w14:textId="77777777" w:rsidR="00BB4B6F" w:rsidRPr="00C020B8" w:rsidRDefault="00BB4B6F" w:rsidP="00BB4B6F">
      <w:pPr>
        <w:widowControl/>
        <w:autoSpaceDE/>
        <w:autoSpaceDN/>
        <w:rPr>
          <w:rFonts w:eastAsia="Calibri"/>
          <w:lang w:eastAsia="en-US" w:bidi="ar-SA"/>
        </w:rPr>
      </w:pPr>
    </w:p>
    <w:p w14:paraId="66E057AA" w14:textId="77777777" w:rsidR="00BB4B6F" w:rsidRPr="00C020B8" w:rsidRDefault="00BB4B6F" w:rsidP="00BB4B6F">
      <w:pPr>
        <w:keepNext/>
        <w:keepLines/>
        <w:widowControl/>
        <w:autoSpaceDE/>
        <w:autoSpaceDN/>
        <w:outlineLvl w:val="1"/>
        <w:rPr>
          <w:rFonts w:eastAsia="MS Gothic"/>
          <w:b/>
          <w:bCs/>
          <w:lang w:eastAsia="en-US" w:bidi="ar-SA"/>
        </w:rPr>
      </w:pPr>
      <w:bookmarkStart w:id="48" w:name="_Toc63247089"/>
      <w:bookmarkStart w:id="49" w:name="_Toc130825233"/>
      <w:r w:rsidRPr="00C020B8">
        <w:rPr>
          <w:rFonts w:eastAsia="MS Gothic"/>
          <w:b/>
          <w:bCs/>
          <w:lang w:eastAsia="en-US" w:bidi="ar-SA"/>
        </w:rPr>
        <w:t>Professional Discussion</w:t>
      </w:r>
      <w:bookmarkEnd w:id="48"/>
      <w:bookmarkEnd w:id="49"/>
    </w:p>
    <w:p w14:paraId="47900D78" w14:textId="684BD06A"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Professional discussion provides a holistic approach to assessing knowledge and understanding and is useful in determining not only what and how a </w:t>
      </w:r>
      <w:r w:rsidR="00CE36B9" w:rsidRPr="00C020B8">
        <w:rPr>
          <w:rFonts w:eastAsia="Calibri"/>
          <w:lang w:eastAsia="en-US" w:bidi="ar-SA"/>
        </w:rPr>
        <w:t>Candidate</w:t>
      </w:r>
      <w:r w:rsidRPr="00C020B8">
        <w:rPr>
          <w:rFonts w:eastAsia="Calibri"/>
          <w:lang w:eastAsia="en-US" w:bidi="ar-SA"/>
        </w:rPr>
        <w:t xml:space="preserve"> is performing, but also their analytical and decision-making abilities. As an assessment method, it can be a beneficial way of testing the validity and reliability of a </w:t>
      </w:r>
      <w:r w:rsidR="00CE36B9" w:rsidRPr="00C020B8">
        <w:rPr>
          <w:rFonts w:eastAsia="Calibri"/>
          <w:lang w:eastAsia="en-US" w:bidi="ar-SA"/>
        </w:rPr>
        <w:t>Candidate</w:t>
      </w:r>
      <w:r w:rsidRPr="00C020B8">
        <w:rPr>
          <w:rFonts w:eastAsia="Calibri"/>
          <w:lang w:eastAsia="en-US" w:bidi="ar-SA"/>
        </w:rPr>
        <w:t xml:space="preserve">’s evidence. It is important to bear in mind that professional discussion it is not a </w:t>
      </w:r>
      <w:proofErr w:type="gramStart"/>
      <w:r w:rsidRPr="00C020B8">
        <w:rPr>
          <w:rFonts w:eastAsia="Calibri"/>
          <w:lang w:eastAsia="en-US" w:bidi="ar-SA"/>
        </w:rPr>
        <w:t>question and answer</w:t>
      </w:r>
      <w:proofErr w:type="gramEnd"/>
      <w:r w:rsidRPr="00C020B8">
        <w:rPr>
          <w:rFonts w:eastAsia="Calibri"/>
          <w:lang w:eastAsia="en-US" w:bidi="ar-SA"/>
        </w:rPr>
        <w:t xml:space="preserve"> session and does not replace observation and other stated methods of assessing </w:t>
      </w:r>
      <w:r w:rsidR="00CE36B9" w:rsidRPr="00C020B8">
        <w:rPr>
          <w:rFonts w:eastAsia="Calibri"/>
          <w:lang w:eastAsia="en-US" w:bidi="ar-SA"/>
        </w:rPr>
        <w:t>Candidate</w:t>
      </w:r>
      <w:r w:rsidRPr="00C020B8">
        <w:rPr>
          <w:rFonts w:eastAsia="Calibri"/>
          <w:lang w:eastAsia="en-US" w:bidi="ar-SA"/>
        </w:rPr>
        <w:t xml:space="preserve"> performance. </w:t>
      </w:r>
    </w:p>
    <w:p w14:paraId="7C617FF8" w14:textId="77777777" w:rsidR="00BB4B6F" w:rsidRPr="00C020B8" w:rsidRDefault="00BB4B6F" w:rsidP="00BB4B6F">
      <w:pPr>
        <w:widowControl/>
        <w:autoSpaceDE/>
        <w:autoSpaceDN/>
        <w:rPr>
          <w:rFonts w:eastAsia="Calibri"/>
          <w:lang w:eastAsia="en-US" w:bidi="ar-SA"/>
        </w:rPr>
      </w:pPr>
    </w:p>
    <w:p w14:paraId="437742F5" w14:textId="77777777" w:rsidR="00BB4B6F" w:rsidRPr="00C020B8" w:rsidRDefault="00BB4B6F" w:rsidP="00BB4B6F">
      <w:pPr>
        <w:widowControl/>
        <w:autoSpaceDE/>
        <w:autoSpaceDN/>
        <w:rPr>
          <w:rFonts w:eastAsia="Calibri"/>
          <w:lang w:eastAsia="en-US" w:bidi="ar-SA"/>
        </w:rPr>
      </w:pPr>
      <w:r w:rsidRPr="00C020B8">
        <w:rPr>
          <w:rFonts w:eastAsia="Calibri"/>
          <w:lang w:eastAsia="en-US" w:bidi="ar-SA"/>
        </w:rPr>
        <w:t>There are three key stages in organising professional discussion, namely planning, facilitating/assessing and recording:</w:t>
      </w:r>
    </w:p>
    <w:p w14:paraId="51508034" w14:textId="77777777" w:rsidR="00BB4B6F" w:rsidRPr="00C020B8" w:rsidRDefault="00BB4B6F" w:rsidP="00BB4B6F">
      <w:pPr>
        <w:widowControl/>
        <w:autoSpaceDE/>
        <w:autoSpaceDN/>
        <w:rPr>
          <w:rFonts w:eastAsia="Calibri"/>
          <w:lang w:eastAsia="en-US" w:bidi="ar-SA"/>
        </w:rPr>
      </w:pPr>
    </w:p>
    <w:p w14:paraId="18532482" w14:textId="77777777" w:rsidR="00BB4B6F" w:rsidRPr="00C020B8" w:rsidRDefault="00BB4B6F" w:rsidP="00BB4B6F">
      <w:pPr>
        <w:widowControl/>
        <w:numPr>
          <w:ilvl w:val="0"/>
          <w:numId w:val="19"/>
        </w:numPr>
        <w:autoSpaceDE/>
        <w:autoSpaceDN/>
        <w:contextualSpacing/>
        <w:rPr>
          <w:rFonts w:eastAsia="Calibri"/>
          <w:lang w:eastAsia="en-US" w:bidi="ar-SA"/>
        </w:rPr>
      </w:pPr>
      <w:r w:rsidRPr="00C020B8">
        <w:rPr>
          <w:rFonts w:eastAsia="Calibri"/>
          <w:lang w:eastAsia="en-US" w:bidi="ar-SA"/>
        </w:rPr>
        <w:t>Planning the discussion.</w:t>
      </w:r>
    </w:p>
    <w:p w14:paraId="48AC4BFE" w14:textId="77777777" w:rsidR="00BB4B6F" w:rsidRPr="00C020B8" w:rsidRDefault="00BB4B6F" w:rsidP="00BB4B6F">
      <w:pPr>
        <w:widowControl/>
        <w:numPr>
          <w:ilvl w:val="0"/>
          <w:numId w:val="19"/>
        </w:numPr>
        <w:autoSpaceDE/>
        <w:autoSpaceDN/>
        <w:contextualSpacing/>
        <w:rPr>
          <w:rFonts w:eastAsia="Calibri"/>
          <w:lang w:eastAsia="en-US" w:bidi="ar-SA"/>
        </w:rPr>
      </w:pPr>
      <w:r w:rsidRPr="00C020B8">
        <w:rPr>
          <w:rFonts w:eastAsia="Calibri"/>
          <w:lang w:eastAsia="en-US" w:bidi="ar-SA"/>
        </w:rPr>
        <w:t xml:space="preserve">Facilitating and assessing the discussion. </w:t>
      </w:r>
    </w:p>
    <w:p w14:paraId="14EC3507" w14:textId="77777777" w:rsidR="00BB4B6F" w:rsidRPr="00C020B8" w:rsidRDefault="00BB4B6F" w:rsidP="00BB4B6F">
      <w:pPr>
        <w:widowControl/>
        <w:numPr>
          <w:ilvl w:val="0"/>
          <w:numId w:val="19"/>
        </w:numPr>
        <w:autoSpaceDE/>
        <w:autoSpaceDN/>
        <w:contextualSpacing/>
        <w:rPr>
          <w:rFonts w:eastAsia="Calibri"/>
          <w:lang w:eastAsia="en-US" w:bidi="ar-SA"/>
        </w:rPr>
      </w:pPr>
      <w:r w:rsidRPr="00C020B8">
        <w:rPr>
          <w:rFonts w:eastAsia="Calibri"/>
          <w:lang w:eastAsia="en-US" w:bidi="ar-SA"/>
        </w:rPr>
        <w:t xml:space="preserve">Recording evidence from the discussion. </w:t>
      </w:r>
    </w:p>
    <w:p w14:paraId="44BB1AA5" w14:textId="77777777" w:rsidR="00BB4B6F" w:rsidRPr="00C020B8" w:rsidRDefault="00BB4B6F" w:rsidP="00BB4B6F">
      <w:pPr>
        <w:widowControl/>
        <w:autoSpaceDE/>
        <w:autoSpaceDN/>
        <w:rPr>
          <w:rFonts w:eastAsia="Calibri"/>
          <w:lang w:eastAsia="en-US" w:bidi="ar-SA"/>
        </w:rPr>
      </w:pPr>
    </w:p>
    <w:p w14:paraId="58FA0242" w14:textId="48654D9D" w:rsidR="00BB4B6F" w:rsidRPr="00C020B8" w:rsidRDefault="00BB4B6F" w:rsidP="00BB4B6F">
      <w:pPr>
        <w:widowControl/>
        <w:autoSpaceDE/>
        <w:autoSpaceDN/>
        <w:rPr>
          <w:rFonts w:eastAsia="Calibri"/>
          <w:lang w:eastAsia="en-US" w:bidi="ar-SA"/>
        </w:rPr>
      </w:pPr>
      <w:r w:rsidRPr="00C020B8">
        <w:rPr>
          <w:rFonts w:eastAsia="Calibri"/>
          <w:lang w:eastAsia="en-US" w:bidi="ar-SA"/>
        </w:rPr>
        <w:t xml:space="preserve">Records must be retained of what has been discussed and how this relates to the </w:t>
      </w:r>
      <w:proofErr w:type="gramStart"/>
      <w:r w:rsidRPr="00C020B8">
        <w:rPr>
          <w:rFonts w:eastAsia="Calibri"/>
          <w:lang w:eastAsia="en-US" w:bidi="ar-SA"/>
        </w:rPr>
        <w:t>Standards .</w:t>
      </w:r>
      <w:proofErr w:type="gramEnd"/>
    </w:p>
    <w:p w14:paraId="0A358169" w14:textId="77777777" w:rsidR="00BB4B6F" w:rsidRPr="00C020B8" w:rsidRDefault="00BB4B6F" w:rsidP="00BB4B6F">
      <w:pPr>
        <w:widowControl/>
        <w:autoSpaceDE/>
        <w:autoSpaceDN/>
        <w:rPr>
          <w:rFonts w:eastAsia="Times New Roman"/>
          <w:lang w:bidi="ar-SA"/>
        </w:rPr>
      </w:pPr>
    </w:p>
    <w:p w14:paraId="41B24E0B" w14:textId="77777777" w:rsidR="00BB4B6F" w:rsidRPr="00C020B8" w:rsidRDefault="00BB4B6F" w:rsidP="00BB4B6F">
      <w:pPr>
        <w:keepNext/>
        <w:keepLines/>
        <w:widowControl/>
        <w:autoSpaceDE/>
        <w:autoSpaceDN/>
        <w:jc w:val="both"/>
        <w:outlineLvl w:val="1"/>
        <w:rPr>
          <w:rFonts w:eastAsia="MS Gothic"/>
          <w:b/>
          <w:bCs/>
          <w:lang w:eastAsia="en-US" w:bidi="ar-SA"/>
        </w:rPr>
      </w:pPr>
      <w:bookmarkStart w:id="50" w:name="_Toc130825234"/>
      <w:r w:rsidRPr="00C020B8">
        <w:rPr>
          <w:rFonts w:eastAsia="MS Gothic"/>
          <w:b/>
          <w:bCs/>
          <w:lang w:eastAsia="en-US" w:bidi="ar-SA"/>
        </w:rPr>
        <w:t>Recognition of Prior Learning</w:t>
      </w:r>
      <w:bookmarkEnd w:id="50"/>
    </w:p>
    <w:p w14:paraId="7068DEF9" w14:textId="027137F0" w:rsidR="00BB4B6F" w:rsidRPr="00C020B8" w:rsidRDefault="00BB4B6F" w:rsidP="00BB4B6F">
      <w:pPr>
        <w:widowControl/>
        <w:autoSpaceDE/>
        <w:autoSpaceDN/>
        <w:jc w:val="both"/>
        <w:rPr>
          <w:rFonts w:eastAsia="Times New Roman"/>
          <w:lang w:bidi="ar-SA"/>
        </w:rPr>
      </w:pPr>
      <w:r w:rsidRPr="00C020B8">
        <w:rPr>
          <w:rFonts w:eastAsia="Calibri"/>
          <w:lang w:eastAsia="en-US" w:bidi="ar-SA"/>
        </w:rPr>
        <w:t>Evidence from prior leaning must be relevant to the Qualification/Standard</w:t>
      </w:r>
      <w:r w:rsidR="006F462D">
        <w:rPr>
          <w:rFonts w:eastAsia="Calibri"/>
          <w:lang w:eastAsia="en-US" w:bidi="ar-SA"/>
        </w:rPr>
        <w:t xml:space="preserve"> </w:t>
      </w:r>
      <w:r w:rsidRPr="00C020B8">
        <w:rPr>
          <w:rFonts w:eastAsia="Calibri"/>
          <w:lang w:eastAsia="en-US" w:bidi="ar-SA"/>
        </w:rPr>
        <w:t xml:space="preserve">concerned, and be authenticated, reliable and valid. Typically evidence more than two years old should not be considered unless in exceptional circumstances. </w:t>
      </w:r>
      <w:r w:rsidRPr="00C020B8">
        <w:rPr>
          <w:rFonts w:eastAsia="MS Gothic"/>
          <w:b/>
          <w:bCs/>
          <w:lang w:eastAsia="en-US" w:bidi="ar-SA"/>
        </w:rPr>
        <w:t>See Assessment Principles (Currency) for further details.</w:t>
      </w:r>
      <w:r w:rsidRPr="00C020B8">
        <w:rPr>
          <w:rFonts w:eastAsia="Calibri"/>
          <w:lang w:eastAsia="en-US" w:bidi="ar-SA"/>
        </w:rPr>
        <w:t xml:space="preserve"> Where there have been significant changes within the sector within the previous two years, prior experience and learning should be used with caution and additional evidence sought.</w:t>
      </w:r>
    </w:p>
    <w:p w14:paraId="338FFD30" w14:textId="77777777" w:rsidR="00C171FF" w:rsidRPr="00C020B8" w:rsidRDefault="00C171FF" w:rsidP="00272767">
      <w:pPr>
        <w:pStyle w:val="BodyText"/>
        <w:spacing w:before="11"/>
        <w:rPr>
          <w:rFonts w:ascii="Times New Roman"/>
          <w:sz w:val="21"/>
        </w:rPr>
      </w:pPr>
    </w:p>
    <w:p w14:paraId="785973A4" w14:textId="77777777" w:rsidR="00C171FF" w:rsidRPr="00C020B8" w:rsidRDefault="00C171FF" w:rsidP="00272767">
      <w:pPr>
        <w:pStyle w:val="BodyText"/>
        <w:spacing w:before="11"/>
        <w:rPr>
          <w:rFonts w:ascii="Times New Roman"/>
          <w:sz w:val="21"/>
        </w:rPr>
      </w:pPr>
    </w:p>
    <w:p w14:paraId="4D559508" w14:textId="5F445651" w:rsidR="00570E9A" w:rsidRPr="00C020B8" w:rsidRDefault="00BC03F0" w:rsidP="00272767">
      <w:pPr>
        <w:rPr>
          <w:b/>
          <w:sz w:val="28"/>
          <w:szCs w:val="28"/>
        </w:rPr>
      </w:pPr>
      <w:r w:rsidRPr="00C020B8">
        <w:rPr>
          <w:b/>
          <w:sz w:val="28"/>
          <w:szCs w:val="28"/>
        </w:rPr>
        <w:t>Simulation</w:t>
      </w:r>
      <w:r w:rsidR="00944F5D" w:rsidRPr="00C020B8">
        <w:rPr>
          <w:b/>
          <w:sz w:val="28"/>
          <w:szCs w:val="28"/>
        </w:rPr>
        <w:t xml:space="preserve"> </w:t>
      </w:r>
    </w:p>
    <w:p w14:paraId="67433E9A" w14:textId="731B2AF9" w:rsidR="00570E9A" w:rsidRPr="00C020B8" w:rsidRDefault="00570E9A" w:rsidP="00570E9A">
      <w:pPr>
        <w:pStyle w:val="Heading4"/>
        <w:spacing w:before="281" w:line="276" w:lineRule="auto"/>
        <w:ind w:right="1490"/>
        <w:rPr>
          <w:rFonts w:ascii="Arial" w:hAnsi="Arial" w:cs="Arial"/>
          <w:color w:val="auto"/>
        </w:rPr>
      </w:pPr>
      <w:r w:rsidRPr="00C020B8">
        <w:rPr>
          <w:rFonts w:ascii="Arial" w:hAnsi="Arial" w:cs="Arial"/>
          <w:color w:val="auto"/>
        </w:rPr>
        <w:t xml:space="preserve">This outlines the extent to which </w:t>
      </w:r>
      <w:r w:rsidR="00BC03F0" w:rsidRPr="00C020B8">
        <w:rPr>
          <w:rFonts w:ascii="Arial" w:hAnsi="Arial" w:cs="Arial"/>
          <w:color w:val="auto"/>
        </w:rPr>
        <w:t xml:space="preserve">simulation </w:t>
      </w:r>
      <w:r w:rsidR="00272767" w:rsidRPr="00C020B8">
        <w:rPr>
          <w:rFonts w:ascii="Arial" w:hAnsi="Arial" w:cs="Arial"/>
          <w:color w:val="auto"/>
        </w:rPr>
        <w:t>is permitted</w:t>
      </w:r>
      <w:r w:rsidR="000523E6" w:rsidRPr="00C020B8">
        <w:rPr>
          <w:rFonts w:ascii="Arial" w:hAnsi="Arial" w:cs="Arial"/>
          <w:color w:val="auto"/>
        </w:rPr>
        <w:t>.</w:t>
      </w:r>
    </w:p>
    <w:p w14:paraId="0340E912" w14:textId="77777777" w:rsidR="00272767" w:rsidRPr="00C020B8" w:rsidRDefault="00272767" w:rsidP="00272767"/>
    <w:p w14:paraId="7E477B63" w14:textId="3B78BFFF" w:rsidR="009D189B" w:rsidRPr="00C020B8" w:rsidRDefault="009D189B" w:rsidP="009D189B">
      <w:pPr>
        <w:shd w:val="clear" w:color="auto" w:fill="FFFFFF" w:themeFill="background1"/>
        <w:adjustRightInd w:val="0"/>
        <w:jc w:val="both"/>
      </w:pPr>
      <w:r w:rsidRPr="00C020B8">
        <w:t>Standards define the expected level of performance individuals must achieve when carrying out job roles/functions in the workplace.</w:t>
      </w:r>
    </w:p>
    <w:p w14:paraId="1755877E" w14:textId="77777777" w:rsidR="009D189B" w:rsidRPr="00C020B8" w:rsidRDefault="009D189B" w:rsidP="009D189B">
      <w:pPr>
        <w:shd w:val="clear" w:color="auto" w:fill="FFFFFF" w:themeFill="background1"/>
        <w:adjustRightInd w:val="0"/>
        <w:jc w:val="both"/>
      </w:pPr>
    </w:p>
    <w:p w14:paraId="473BB06F" w14:textId="6AD79672" w:rsidR="009D189B" w:rsidRPr="00C020B8" w:rsidRDefault="009D189B" w:rsidP="009D189B">
      <w:pPr>
        <w:adjustRightInd w:val="0"/>
        <w:jc w:val="both"/>
      </w:pPr>
      <w:proofErr w:type="gramStart"/>
      <w:r w:rsidRPr="00C020B8">
        <w:t>The majority of</w:t>
      </w:r>
      <w:proofErr w:type="gramEnd"/>
      <w:r w:rsidRPr="00C020B8">
        <w:t xml:space="preserve"> the </w:t>
      </w:r>
      <w:r w:rsidR="00CE36B9" w:rsidRPr="00C020B8">
        <w:t>Candidate</w:t>
      </w:r>
      <w:r w:rsidRPr="00C020B8">
        <w:t xml:space="preserve">s’ evidence must be drawn from their normal working activity and simulation can only be used where it is difficult or hazardous to obtain direct evidence of </w:t>
      </w:r>
      <w:r w:rsidR="00CE36B9" w:rsidRPr="00C020B8">
        <w:t>Candidate</w:t>
      </w:r>
      <w:r w:rsidRPr="00C020B8">
        <w:t>s’ performance and when expressly indicated by individual Standards</w:t>
      </w:r>
      <w:r w:rsidR="006F462D">
        <w:t>.</w:t>
      </w:r>
    </w:p>
    <w:p w14:paraId="57EC6CFC" w14:textId="77777777" w:rsidR="009D189B" w:rsidRPr="00C020B8" w:rsidRDefault="009D189B" w:rsidP="009D189B">
      <w:pPr>
        <w:adjustRightInd w:val="0"/>
        <w:jc w:val="both"/>
      </w:pPr>
    </w:p>
    <w:p w14:paraId="241DF782" w14:textId="77777777" w:rsidR="009D189B" w:rsidRPr="00C020B8" w:rsidRDefault="009D189B" w:rsidP="009D189B">
      <w:pPr>
        <w:adjustRightInd w:val="0"/>
        <w:jc w:val="both"/>
      </w:pPr>
      <w:r w:rsidRPr="00C020B8">
        <w:t>Examples of when simulation may be required:</w:t>
      </w:r>
    </w:p>
    <w:p w14:paraId="2CAD08A6" w14:textId="77777777" w:rsidR="009D189B" w:rsidRPr="00C020B8" w:rsidRDefault="009D189B" w:rsidP="009D189B">
      <w:pPr>
        <w:pStyle w:val="ListParagraph"/>
        <w:widowControl/>
        <w:numPr>
          <w:ilvl w:val="0"/>
          <w:numId w:val="21"/>
        </w:numPr>
        <w:adjustRightInd w:val="0"/>
        <w:ind w:left="357" w:hanging="357"/>
        <w:jc w:val="both"/>
      </w:pPr>
      <w:r w:rsidRPr="00C020B8">
        <w:t>Health and safety considerations would prevent assessments being carried out under normal working operations.</w:t>
      </w:r>
    </w:p>
    <w:p w14:paraId="05319AA8" w14:textId="77777777" w:rsidR="009D189B" w:rsidRPr="00C020B8" w:rsidRDefault="009D189B" w:rsidP="009D189B">
      <w:pPr>
        <w:pStyle w:val="ListParagraph"/>
        <w:widowControl/>
        <w:numPr>
          <w:ilvl w:val="0"/>
          <w:numId w:val="21"/>
        </w:numPr>
        <w:adjustRightInd w:val="0"/>
        <w:ind w:left="357" w:hanging="357"/>
        <w:jc w:val="both"/>
      </w:pPr>
      <w:r w:rsidRPr="00C020B8">
        <w:t>It would not be feasible to replicate a situation such as emergency/critical conditions, hazardous operations, adverse weather conditions or contingency scenarios.</w:t>
      </w:r>
    </w:p>
    <w:p w14:paraId="5B06C40B" w14:textId="77777777" w:rsidR="009D189B" w:rsidRPr="00C020B8" w:rsidRDefault="009D189B" w:rsidP="009D189B">
      <w:pPr>
        <w:pStyle w:val="ListParagraph"/>
        <w:widowControl/>
        <w:numPr>
          <w:ilvl w:val="0"/>
          <w:numId w:val="21"/>
        </w:numPr>
        <w:adjustRightInd w:val="0"/>
        <w:ind w:left="357" w:hanging="357"/>
        <w:jc w:val="both"/>
      </w:pPr>
      <w:r w:rsidRPr="00C020B8">
        <w:t>Naturally occurring evidence is so infrequent that gathering evidence from normal working operations would be impractical.</w:t>
      </w:r>
    </w:p>
    <w:p w14:paraId="2D9BCFDC" w14:textId="77777777" w:rsidR="009D189B" w:rsidRPr="00C020B8" w:rsidRDefault="009D189B" w:rsidP="009D189B">
      <w:pPr>
        <w:adjustRightInd w:val="0"/>
        <w:jc w:val="both"/>
      </w:pPr>
    </w:p>
    <w:p w14:paraId="4D81FA0C" w14:textId="77777777" w:rsidR="009D189B" w:rsidRPr="00C020B8" w:rsidRDefault="009D189B" w:rsidP="009D189B">
      <w:pPr>
        <w:adjustRightInd w:val="0"/>
        <w:jc w:val="both"/>
      </w:pPr>
      <w:r w:rsidRPr="00C020B8">
        <w:t xml:space="preserve">Simulation must take place in a realistic working environment.  The environment and conditions for the assessment must reflect normal working situations; equipment must be the same or </w:t>
      </w:r>
      <w:proofErr w:type="gramStart"/>
      <w:r w:rsidRPr="00C020B8">
        <w:t>similar to</w:t>
      </w:r>
      <w:proofErr w:type="gramEnd"/>
      <w:r w:rsidRPr="00C020B8">
        <w:t xml:space="preserve"> that currently used in industry; and normal working procedures must be observed.</w:t>
      </w:r>
    </w:p>
    <w:p w14:paraId="0E627102" w14:textId="77777777" w:rsidR="009D189B" w:rsidRPr="00C020B8" w:rsidRDefault="009D189B" w:rsidP="009D189B">
      <w:pPr>
        <w:adjustRightInd w:val="0"/>
        <w:jc w:val="both"/>
      </w:pPr>
    </w:p>
    <w:p w14:paraId="71961A9D" w14:textId="789DC09B" w:rsidR="009D189B" w:rsidRPr="00C020B8" w:rsidRDefault="009D189B" w:rsidP="009D189B">
      <w:pPr>
        <w:adjustRightInd w:val="0"/>
        <w:jc w:val="both"/>
        <w:rPr>
          <w:b/>
          <w:bCs/>
        </w:rPr>
      </w:pPr>
      <w:r w:rsidRPr="00C020B8">
        <w:rPr>
          <w:b/>
          <w:bCs/>
        </w:rPr>
        <w:t xml:space="preserve">This use of simulation should be by exception and must be approved in advance by an External Verifier.  </w:t>
      </w:r>
    </w:p>
    <w:p w14:paraId="2687DE6A" w14:textId="77777777" w:rsidR="009D189B" w:rsidRPr="00C020B8" w:rsidRDefault="009D189B" w:rsidP="009D189B">
      <w:pPr>
        <w:adjustRightInd w:val="0"/>
        <w:jc w:val="both"/>
      </w:pPr>
    </w:p>
    <w:p w14:paraId="456C5935" w14:textId="77777777" w:rsidR="009D189B" w:rsidRPr="00C020B8" w:rsidRDefault="009D189B" w:rsidP="009D189B">
      <w:pPr>
        <w:adjustRightInd w:val="0"/>
        <w:jc w:val="both"/>
      </w:pPr>
      <w:r w:rsidRPr="00C020B8">
        <w:t xml:space="preserve">The following information should be provided: </w:t>
      </w:r>
    </w:p>
    <w:p w14:paraId="68A711C8" w14:textId="77777777" w:rsidR="009D189B" w:rsidRPr="00C020B8" w:rsidRDefault="009D189B" w:rsidP="009D189B">
      <w:pPr>
        <w:pStyle w:val="ListParagraph"/>
        <w:widowControl/>
        <w:numPr>
          <w:ilvl w:val="0"/>
          <w:numId w:val="23"/>
        </w:numPr>
        <w:adjustRightInd w:val="0"/>
        <w:ind w:left="357" w:hanging="357"/>
        <w:jc w:val="both"/>
      </w:pPr>
      <w:r w:rsidRPr="00C020B8">
        <w:t>Reasons for carrying out the simulation in place of collecting direct evidence.</w:t>
      </w:r>
    </w:p>
    <w:p w14:paraId="6C620317" w14:textId="77777777" w:rsidR="009D189B" w:rsidRPr="00C020B8" w:rsidRDefault="009D189B" w:rsidP="009D189B">
      <w:pPr>
        <w:pStyle w:val="ListParagraph"/>
        <w:widowControl/>
        <w:numPr>
          <w:ilvl w:val="0"/>
          <w:numId w:val="22"/>
        </w:numPr>
        <w:adjustRightInd w:val="0"/>
        <w:ind w:left="357" w:hanging="357"/>
        <w:jc w:val="both"/>
      </w:pPr>
      <w:r w:rsidRPr="00C020B8">
        <w:t xml:space="preserve">How the simulation will be conducted – including details of the equipment, facilities and physical environment used.   </w:t>
      </w:r>
    </w:p>
    <w:p w14:paraId="34B7FC5A" w14:textId="77777777" w:rsidR="000523E6" w:rsidRPr="00C020B8" w:rsidRDefault="000523E6" w:rsidP="000523E6"/>
    <w:p w14:paraId="4ABD8C3D" w14:textId="24BE618C" w:rsidR="00570E9A" w:rsidRPr="00C020B8" w:rsidRDefault="00570E9A" w:rsidP="00570E9A">
      <w:pPr>
        <w:pStyle w:val="BodyText"/>
        <w:rPr>
          <w:rFonts w:ascii="Times New Roman"/>
          <w:sz w:val="26"/>
        </w:rPr>
      </w:pPr>
    </w:p>
    <w:p w14:paraId="508AB66A" w14:textId="6F419ACC" w:rsidR="00944F5D" w:rsidRPr="00C020B8" w:rsidRDefault="00944F5D" w:rsidP="00026557">
      <w:pPr>
        <w:rPr>
          <w:b/>
          <w:color w:val="FF0000"/>
          <w:sz w:val="28"/>
          <w:szCs w:val="28"/>
        </w:rPr>
      </w:pPr>
      <w:r w:rsidRPr="00C020B8">
        <w:rPr>
          <w:b/>
          <w:sz w:val="28"/>
          <w:szCs w:val="28"/>
        </w:rPr>
        <w:t>The assessment environment</w:t>
      </w:r>
      <w:r w:rsidR="000523E6" w:rsidRPr="00C020B8">
        <w:t xml:space="preserve"> </w:t>
      </w:r>
    </w:p>
    <w:p w14:paraId="7484D001" w14:textId="77777777" w:rsidR="00944F5D" w:rsidRPr="00C020B8" w:rsidRDefault="00944F5D" w:rsidP="00944F5D"/>
    <w:p w14:paraId="15BCED27" w14:textId="77777777" w:rsidR="002A4B31" w:rsidRPr="00C020B8" w:rsidRDefault="002A4B31" w:rsidP="002A4B31">
      <w:pPr>
        <w:pStyle w:val="BodyText"/>
        <w:rPr>
          <w:rFonts w:eastAsiaTheme="majorEastAsia"/>
          <w:b/>
          <w:bCs/>
        </w:rPr>
      </w:pPr>
      <w:r w:rsidRPr="00C020B8">
        <w:rPr>
          <w:rFonts w:eastAsiaTheme="majorEastAsia"/>
          <w:b/>
          <w:bCs/>
        </w:rPr>
        <w:t xml:space="preserve">Digital and Remote Assessment </w:t>
      </w:r>
    </w:p>
    <w:p w14:paraId="7F405DEB" w14:textId="77777777" w:rsidR="002A4B31" w:rsidRPr="00C020B8" w:rsidRDefault="002A4B31" w:rsidP="002A4B31">
      <w:pPr>
        <w:pStyle w:val="BodyText"/>
        <w:rPr>
          <w:rFonts w:eastAsiaTheme="majorEastAsia"/>
          <w:b/>
          <w:bCs/>
        </w:rPr>
      </w:pPr>
    </w:p>
    <w:p w14:paraId="205A7589" w14:textId="6A38842C" w:rsidR="00540721" w:rsidRPr="00C020B8" w:rsidRDefault="00540721" w:rsidP="00540721">
      <w:pPr>
        <w:adjustRightInd w:val="0"/>
        <w:jc w:val="both"/>
      </w:pPr>
      <w:r w:rsidRPr="00C020B8">
        <w:t xml:space="preserve">Digital and remote assessment could include the use of video or audio recording submitted by a </w:t>
      </w:r>
      <w:r w:rsidR="00CE36B9" w:rsidRPr="00C020B8">
        <w:t>Candidate</w:t>
      </w:r>
      <w:r w:rsidRPr="00C020B8">
        <w:t xml:space="preserve"> or used with both the Assessor and </w:t>
      </w:r>
      <w:r w:rsidR="00CE36B9" w:rsidRPr="00C020B8">
        <w:t>Candidate</w:t>
      </w:r>
      <w:r w:rsidRPr="00C020B8">
        <w:t xml:space="preserve">. When using digital and remote assessment, </w:t>
      </w:r>
      <w:proofErr w:type="gramStart"/>
      <w:r w:rsidRPr="00C020B8">
        <w:t>a number of</w:t>
      </w:r>
      <w:proofErr w:type="gramEnd"/>
      <w:r w:rsidRPr="00C020B8">
        <w:t xml:space="preserve"> considerations should be looked at prior to use. For example:</w:t>
      </w:r>
    </w:p>
    <w:p w14:paraId="495BC756" w14:textId="77777777" w:rsidR="00540721" w:rsidRPr="00C020B8" w:rsidRDefault="00540721" w:rsidP="00540721">
      <w:pPr>
        <w:adjustRightInd w:val="0"/>
        <w:jc w:val="both"/>
      </w:pPr>
    </w:p>
    <w:p w14:paraId="60FAFB6B" w14:textId="30F9C020" w:rsidR="00540721" w:rsidRPr="00C020B8" w:rsidRDefault="00540721" w:rsidP="00540721">
      <w:pPr>
        <w:adjustRightInd w:val="0"/>
        <w:ind w:left="709" w:hanging="709"/>
        <w:jc w:val="both"/>
      </w:pPr>
      <w:r w:rsidRPr="00C020B8">
        <w:t>•</w:t>
      </w:r>
      <w:r w:rsidRPr="00C020B8">
        <w:tab/>
        <w:t xml:space="preserve">Can the assessment meet the requirement of the Standard(s) if delivered digitally. </w:t>
      </w:r>
    </w:p>
    <w:p w14:paraId="178C1529" w14:textId="7562216F" w:rsidR="00540721" w:rsidRPr="00C020B8" w:rsidRDefault="00540721" w:rsidP="00540721">
      <w:pPr>
        <w:adjustRightInd w:val="0"/>
        <w:jc w:val="both"/>
      </w:pPr>
      <w:r w:rsidRPr="00C020B8">
        <w:t>•</w:t>
      </w:r>
      <w:r w:rsidRPr="00C020B8">
        <w:tab/>
        <w:t>Can personnel (</w:t>
      </w:r>
      <w:r w:rsidR="00CE36B9" w:rsidRPr="00C020B8">
        <w:t>Candidate</w:t>
      </w:r>
      <w:r w:rsidRPr="00C020B8">
        <w:t>/witness etc) be authenticated.</w:t>
      </w:r>
    </w:p>
    <w:p w14:paraId="74147ED6" w14:textId="77777777" w:rsidR="00540721" w:rsidRPr="00C020B8" w:rsidRDefault="00540721" w:rsidP="00540721">
      <w:pPr>
        <w:adjustRightInd w:val="0"/>
        <w:jc w:val="both"/>
      </w:pPr>
      <w:r w:rsidRPr="00C020B8">
        <w:t>•</w:t>
      </w:r>
      <w:r w:rsidRPr="00C020B8">
        <w:tab/>
        <w:t>Can the security and integrity of the assessment material be maintained.</w:t>
      </w:r>
    </w:p>
    <w:p w14:paraId="5152D9BE" w14:textId="77777777" w:rsidR="00540721" w:rsidRPr="00C020B8" w:rsidRDefault="00540721" w:rsidP="00540721">
      <w:pPr>
        <w:adjustRightInd w:val="0"/>
        <w:jc w:val="both"/>
      </w:pPr>
    </w:p>
    <w:p w14:paraId="72782D8E" w14:textId="784C5F04" w:rsidR="00540721" w:rsidRPr="00C020B8" w:rsidRDefault="00540721" w:rsidP="00540721">
      <w:pPr>
        <w:adjustRightInd w:val="0"/>
        <w:jc w:val="both"/>
      </w:pPr>
      <w:proofErr w:type="gramStart"/>
      <w:r w:rsidRPr="00C020B8">
        <w:t>Typically</w:t>
      </w:r>
      <w:proofErr w:type="gramEnd"/>
      <w:r w:rsidRPr="00C020B8">
        <w:t xml:space="preserve"> when delivering digital assessment, it’s good practice to produce a checklist or standardised approach, defining the outcomes to be covered and the Standard(s) to be achieved; this will help to ensure that the assessment is valid and reliable. This should be issued in advance and used consistently with all </w:t>
      </w:r>
      <w:r w:rsidR="00CE36B9" w:rsidRPr="00C020B8">
        <w:t>Candidate</w:t>
      </w:r>
      <w:r w:rsidRPr="00C020B8">
        <w:t>s.</w:t>
      </w:r>
    </w:p>
    <w:p w14:paraId="07789122" w14:textId="77777777" w:rsidR="00540721" w:rsidRPr="00C020B8" w:rsidRDefault="00540721" w:rsidP="00540721">
      <w:pPr>
        <w:adjustRightInd w:val="0"/>
        <w:jc w:val="both"/>
      </w:pPr>
    </w:p>
    <w:p w14:paraId="3764723C" w14:textId="77777777" w:rsidR="00540721" w:rsidRPr="00C020B8" w:rsidRDefault="00540721" w:rsidP="00540721">
      <w:pPr>
        <w:adjustRightInd w:val="0"/>
        <w:jc w:val="both"/>
      </w:pPr>
      <w:r w:rsidRPr="00C020B8">
        <w:t>The use of digital assessment should meet the requirements of Organisation security, safety and data protection policies prior to use.</w:t>
      </w:r>
    </w:p>
    <w:p w14:paraId="36B0FFB7" w14:textId="1959AD4F" w:rsidR="00944F5D" w:rsidRPr="00C020B8" w:rsidRDefault="00944F5D" w:rsidP="002A4B31">
      <w:pPr>
        <w:pStyle w:val="BodyText"/>
        <w:rPr>
          <w:rFonts w:ascii="Times New Roman"/>
          <w:sz w:val="26"/>
        </w:rPr>
      </w:pPr>
    </w:p>
    <w:p w14:paraId="527653A8" w14:textId="77777777" w:rsidR="00944F5D" w:rsidRPr="00C020B8" w:rsidRDefault="00944F5D" w:rsidP="00570E9A">
      <w:pPr>
        <w:pStyle w:val="BodyText"/>
        <w:rPr>
          <w:rFonts w:ascii="Times New Roman"/>
          <w:sz w:val="26"/>
        </w:rPr>
      </w:pPr>
    </w:p>
    <w:p w14:paraId="64B9D5F3" w14:textId="77777777" w:rsidR="00570E9A" w:rsidRPr="00C020B8" w:rsidRDefault="00570E9A" w:rsidP="00570E9A">
      <w:pPr>
        <w:pStyle w:val="BodyText"/>
        <w:spacing w:before="11"/>
        <w:rPr>
          <w:rFonts w:ascii="Times New Roman"/>
          <w:sz w:val="21"/>
        </w:rPr>
      </w:pPr>
    </w:p>
    <w:p w14:paraId="4851CAA8" w14:textId="48E6E652" w:rsidR="00570E9A" w:rsidRPr="00C020B8" w:rsidRDefault="00944F5D" w:rsidP="00272767">
      <w:pPr>
        <w:rPr>
          <w:b/>
          <w:sz w:val="28"/>
          <w:szCs w:val="28"/>
        </w:rPr>
      </w:pPr>
      <w:r w:rsidRPr="00C020B8">
        <w:rPr>
          <w:b/>
          <w:sz w:val="28"/>
          <w:szCs w:val="28"/>
        </w:rPr>
        <w:t>Requirements for</w:t>
      </w:r>
      <w:r w:rsidR="00570E9A" w:rsidRPr="00C020B8">
        <w:rPr>
          <w:b/>
          <w:sz w:val="28"/>
          <w:szCs w:val="28"/>
        </w:rPr>
        <w:t xml:space="preserve"> </w:t>
      </w:r>
      <w:r w:rsidRPr="00C020B8">
        <w:rPr>
          <w:b/>
          <w:sz w:val="28"/>
          <w:szCs w:val="28"/>
        </w:rPr>
        <w:t xml:space="preserve">roles in </w:t>
      </w:r>
      <w:r w:rsidR="00272767" w:rsidRPr="00C020B8">
        <w:rPr>
          <w:b/>
          <w:sz w:val="28"/>
          <w:szCs w:val="28"/>
        </w:rPr>
        <w:t>assess</w:t>
      </w:r>
      <w:r w:rsidRPr="00C020B8">
        <w:rPr>
          <w:b/>
          <w:sz w:val="28"/>
          <w:szCs w:val="28"/>
        </w:rPr>
        <w:t>ment</w:t>
      </w:r>
      <w:r w:rsidR="00272767" w:rsidRPr="00C020B8">
        <w:rPr>
          <w:b/>
          <w:sz w:val="28"/>
          <w:szCs w:val="28"/>
        </w:rPr>
        <w:t xml:space="preserve"> and </w:t>
      </w:r>
      <w:r w:rsidR="00570E9A" w:rsidRPr="00C020B8">
        <w:rPr>
          <w:b/>
          <w:sz w:val="28"/>
          <w:szCs w:val="28"/>
        </w:rPr>
        <w:t>quality assur</w:t>
      </w:r>
      <w:r w:rsidRPr="00C020B8">
        <w:rPr>
          <w:b/>
          <w:sz w:val="28"/>
          <w:szCs w:val="28"/>
        </w:rPr>
        <w:t>ance</w:t>
      </w:r>
    </w:p>
    <w:p w14:paraId="4FD96AB5" w14:textId="77777777" w:rsidR="00272767" w:rsidRPr="00C020B8" w:rsidRDefault="00272767" w:rsidP="00272767"/>
    <w:p w14:paraId="180A978B" w14:textId="77777777" w:rsidR="00A9543A" w:rsidRPr="00C020B8" w:rsidRDefault="00A9543A" w:rsidP="00A9543A">
      <w:pPr>
        <w:pStyle w:val="Heading1"/>
        <w:rPr>
          <w:rFonts w:ascii="Arial" w:hAnsi="Arial" w:cs="Arial"/>
          <w:sz w:val="22"/>
          <w:szCs w:val="22"/>
        </w:rPr>
      </w:pPr>
      <w:bookmarkStart w:id="51" w:name="_Toc130825211"/>
      <w:r w:rsidRPr="00C020B8">
        <w:rPr>
          <w:rFonts w:ascii="Arial" w:hAnsi="Arial" w:cs="Arial"/>
          <w:sz w:val="22"/>
          <w:szCs w:val="22"/>
        </w:rPr>
        <w:t>Roles &amp; Responsibilities</w:t>
      </w:r>
      <w:bookmarkEnd w:id="51"/>
      <w:r w:rsidRPr="00C020B8">
        <w:rPr>
          <w:rFonts w:ascii="Arial" w:hAnsi="Arial" w:cs="Arial"/>
          <w:sz w:val="22"/>
          <w:szCs w:val="22"/>
        </w:rPr>
        <w:t xml:space="preserve"> </w:t>
      </w:r>
    </w:p>
    <w:p w14:paraId="31E6A144" w14:textId="77777777" w:rsidR="0004544D" w:rsidRPr="00C020B8" w:rsidRDefault="0004544D" w:rsidP="0004544D">
      <w:pPr>
        <w:adjustRightInd w:val="0"/>
        <w:jc w:val="both"/>
        <w:rPr>
          <w:i/>
        </w:rPr>
      </w:pPr>
      <w:r w:rsidRPr="00C020B8">
        <w:rPr>
          <w:i/>
        </w:rPr>
        <w:t>The following guidelines should be read in conjunction with the requirements of Awarding Bodies/Audit Organisations, if relevant.</w:t>
      </w:r>
    </w:p>
    <w:p w14:paraId="77C5691E" w14:textId="77777777" w:rsidR="0004544D" w:rsidRPr="00C020B8" w:rsidRDefault="0004544D" w:rsidP="0004544D">
      <w:pPr>
        <w:adjustRightInd w:val="0"/>
        <w:rPr>
          <w:bCs/>
          <w:iCs/>
        </w:rPr>
      </w:pPr>
    </w:p>
    <w:p w14:paraId="6B5EA5AC" w14:textId="77777777" w:rsidR="0004544D" w:rsidRPr="00C020B8" w:rsidRDefault="0004544D" w:rsidP="0004544D">
      <w:pPr>
        <w:adjustRightInd w:val="0"/>
        <w:rPr>
          <w:bCs/>
          <w:iCs/>
        </w:rPr>
      </w:pPr>
    </w:p>
    <w:p w14:paraId="2906A867" w14:textId="3D4CE4B6" w:rsidR="0004544D" w:rsidRPr="00C020B8" w:rsidRDefault="00CE36B9" w:rsidP="0004544D">
      <w:pPr>
        <w:adjustRightInd w:val="0"/>
        <w:rPr>
          <w:bCs/>
          <w:iCs/>
        </w:rPr>
      </w:pPr>
      <w:r w:rsidRPr="00C020B8">
        <w:rPr>
          <w:rFonts w:eastAsiaTheme="majorEastAsia" w:cstheme="majorBidi"/>
          <w:b/>
          <w:bCs/>
          <w:noProof/>
          <w:color w:val="2F5496" w:themeColor="accent1" w:themeShade="BF"/>
          <w:sz w:val="28"/>
          <w:szCs w:val="26"/>
        </w:rPr>
        <w:lastRenderedPageBreak/>
        <w:drawing>
          <wp:inline distT="0" distB="0" distL="0" distR="0" wp14:anchorId="49EEDC81" wp14:editId="78A52765">
            <wp:extent cx="5731510" cy="3550285"/>
            <wp:effectExtent l="0" t="0" r="0" b="107315"/>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F774710" w14:textId="77777777" w:rsidR="0004544D" w:rsidRPr="00C020B8" w:rsidRDefault="0004544D" w:rsidP="0004544D">
      <w:pPr>
        <w:adjustRightInd w:val="0"/>
        <w:rPr>
          <w:bCs/>
          <w:iCs/>
        </w:rPr>
      </w:pPr>
    </w:p>
    <w:p w14:paraId="1DEE343D" w14:textId="77777777" w:rsidR="0004544D" w:rsidRPr="00C020B8" w:rsidRDefault="0004544D" w:rsidP="0004544D">
      <w:pPr>
        <w:adjustRightInd w:val="0"/>
        <w:rPr>
          <w:bCs/>
          <w:iCs/>
        </w:rPr>
      </w:pPr>
    </w:p>
    <w:p w14:paraId="5656D2B6" w14:textId="77777777" w:rsidR="0004544D" w:rsidRPr="00C020B8" w:rsidRDefault="0004544D" w:rsidP="0004544D">
      <w:pPr>
        <w:adjustRightInd w:val="0"/>
        <w:rPr>
          <w:bCs/>
          <w:iCs/>
        </w:rPr>
      </w:pPr>
    </w:p>
    <w:p w14:paraId="254E8B4B" w14:textId="77777777" w:rsidR="00CE36B9" w:rsidRPr="00C020B8" w:rsidRDefault="00CE36B9" w:rsidP="0004544D">
      <w:pPr>
        <w:adjustRightInd w:val="0"/>
        <w:jc w:val="both"/>
        <w:rPr>
          <w:b/>
          <w:bCs/>
        </w:rPr>
      </w:pPr>
      <w:r w:rsidRPr="00C020B8">
        <w:rPr>
          <w:b/>
          <w:bCs/>
        </w:rPr>
        <w:t>Candidates</w:t>
      </w:r>
    </w:p>
    <w:p w14:paraId="0B9FBC3D" w14:textId="2B2392A6" w:rsidR="0004544D" w:rsidRPr="00C020B8" w:rsidRDefault="00CE36B9" w:rsidP="0004544D">
      <w:pPr>
        <w:adjustRightInd w:val="0"/>
        <w:jc w:val="both"/>
      </w:pPr>
      <w:r w:rsidRPr="00C020B8">
        <w:t>Candidates are individuals who will be assessed as competent against a Standard(s).</w:t>
      </w:r>
    </w:p>
    <w:p w14:paraId="0A05316E" w14:textId="77777777" w:rsidR="0004544D" w:rsidRPr="00C020B8" w:rsidRDefault="0004544D" w:rsidP="0004544D">
      <w:pPr>
        <w:pStyle w:val="Heading3"/>
        <w:rPr>
          <w:sz w:val="22"/>
          <w:szCs w:val="22"/>
        </w:rPr>
      </w:pPr>
      <w:r w:rsidRPr="00C020B8">
        <w:rPr>
          <w:sz w:val="22"/>
          <w:szCs w:val="22"/>
        </w:rPr>
        <w:t xml:space="preserve">Responsibilities </w:t>
      </w:r>
    </w:p>
    <w:p w14:paraId="0445F517" w14:textId="28BDB305" w:rsidR="0004544D" w:rsidRPr="00C020B8" w:rsidRDefault="00CE36B9" w:rsidP="0004544D">
      <w:pPr>
        <w:adjustRightInd w:val="0"/>
        <w:jc w:val="both"/>
      </w:pPr>
      <w:r w:rsidRPr="00C020B8">
        <w:t>Candidate</w:t>
      </w:r>
      <w:r w:rsidR="0004544D" w:rsidRPr="00C020B8">
        <w:t>s’ responsibilities are to:</w:t>
      </w:r>
    </w:p>
    <w:p w14:paraId="0AD8170E" w14:textId="77777777" w:rsidR="0004544D" w:rsidRPr="00C020B8" w:rsidRDefault="0004544D" w:rsidP="0004544D">
      <w:pPr>
        <w:adjustRightInd w:val="0"/>
        <w:jc w:val="both"/>
      </w:pPr>
    </w:p>
    <w:p w14:paraId="5A9CE56E" w14:textId="77777777" w:rsidR="00CE36B9" w:rsidRPr="00CE36B9" w:rsidRDefault="00CE36B9" w:rsidP="00CE36B9">
      <w:pPr>
        <w:pStyle w:val="ListParagraph"/>
        <w:widowControl/>
        <w:numPr>
          <w:ilvl w:val="0"/>
          <w:numId w:val="37"/>
        </w:numPr>
        <w:tabs>
          <w:tab w:val="left" w:pos="7873"/>
        </w:tabs>
        <w:autoSpaceDE/>
        <w:autoSpaceDN/>
        <w:spacing w:after="160" w:line="259" w:lineRule="auto"/>
        <w:contextualSpacing/>
      </w:pPr>
      <w:r w:rsidRPr="00CE36B9">
        <w:t>work with their Assessor(s) to identify opportunities where they can demonstrate their competence in accordance with the relevant Standard(s</w:t>
      </w:r>
      <w:proofErr w:type="gramStart"/>
      <w:r w:rsidRPr="00CE36B9">
        <w:t>);</w:t>
      </w:r>
      <w:proofErr w:type="gramEnd"/>
    </w:p>
    <w:p w14:paraId="501A97E2" w14:textId="77777777" w:rsidR="00CE36B9" w:rsidRPr="00CE36B9" w:rsidRDefault="00CE36B9" w:rsidP="00CE36B9">
      <w:pPr>
        <w:pStyle w:val="ListParagraph"/>
        <w:widowControl/>
        <w:numPr>
          <w:ilvl w:val="0"/>
          <w:numId w:val="37"/>
        </w:numPr>
        <w:tabs>
          <w:tab w:val="left" w:pos="7873"/>
        </w:tabs>
        <w:autoSpaceDE/>
        <w:autoSpaceDN/>
        <w:spacing w:after="160" w:line="259" w:lineRule="auto"/>
        <w:contextualSpacing/>
      </w:pPr>
      <w:r w:rsidRPr="00CE36B9">
        <w:t xml:space="preserve">perform agreed tasks in the workplace in accordance with all health, safety and environmental </w:t>
      </w:r>
      <w:proofErr w:type="gramStart"/>
      <w:r w:rsidRPr="00CE36B9">
        <w:t>requirements;</w:t>
      </w:r>
      <w:proofErr w:type="gramEnd"/>
      <w:r w:rsidRPr="00CE36B9">
        <w:t xml:space="preserve"> </w:t>
      </w:r>
    </w:p>
    <w:p w14:paraId="27419AA9" w14:textId="77777777" w:rsidR="00CE36B9" w:rsidRPr="00CE36B9" w:rsidRDefault="00CE36B9" w:rsidP="00CE36B9">
      <w:pPr>
        <w:pStyle w:val="ListParagraph"/>
        <w:widowControl/>
        <w:numPr>
          <w:ilvl w:val="0"/>
          <w:numId w:val="37"/>
        </w:numPr>
        <w:tabs>
          <w:tab w:val="left" w:pos="7873"/>
        </w:tabs>
        <w:autoSpaceDE/>
        <w:autoSpaceDN/>
        <w:spacing w:after="160" w:line="259" w:lineRule="auto"/>
        <w:contextualSpacing/>
      </w:pPr>
      <w:r w:rsidRPr="00CE36B9">
        <w:t>gather evidence (where required) to support their claim of competence in accordance with the relevant Standard(s).</w:t>
      </w:r>
    </w:p>
    <w:p w14:paraId="666241E5" w14:textId="77777777" w:rsidR="0004544D" w:rsidRPr="00C020B8" w:rsidRDefault="0004544D" w:rsidP="0004544D">
      <w:pPr>
        <w:pStyle w:val="ListParagraph"/>
        <w:adjustRightInd w:val="0"/>
        <w:ind w:left="360"/>
        <w:jc w:val="both"/>
      </w:pPr>
    </w:p>
    <w:p w14:paraId="6286DC69" w14:textId="77777777" w:rsidR="0004544D" w:rsidRPr="00C020B8" w:rsidRDefault="0004544D" w:rsidP="0004544D">
      <w:pPr>
        <w:adjustRightInd w:val="0"/>
        <w:jc w:val="both"/>
      </w:pPr>
    </w:p>
    <w:p w14:paraId="565C48F2" w14:textId="77777777" w:rsidR="0004544D" w:rsidRPr="00C020B8" w:rsidRDefault="0004544D" w:rsidP="0004544D"/>
    <w:p w14:paraId="2D674468" w14:textId="77777777" w:rsidR="0004544D" w:rsidRPr="00C020B8" w:rsidRDefault="0004544D" w:rsidP="0004544D">
      <w:pPr>
        <w:pStyle w:val="Heading2"/>
        <w:rPr>
          <w:sz w:val="22"/>
          <w:szCs w:val="22"/>
        </w:rPr>
      </w:pPr>
      <w:r w:rsidRPr="00C020B8">
        <w:rPr>
          <w:sz w:val="22"/>
          <w:szCs w:val="22"/>
        </w:rPr>
        <w:br w:type="page"/>
      </w:r>
      <w:bookmarkStart w:id="52" w:name="_Toc130825213"/>
      <w:r w:rsidRPr="00C020B8">
        <w:rPr>
          <w:sz w:val="22"/>
          <w:szCs w:val="22"/>
        </w:rPr>
        <w:lastRenderedPageBreak/>
        <w:t>Expert Witness</w:t>
      </w:r>
      <w:bookmarkEnd w:id="52"/>
      <w:r w:rsidRPr="00C020B8">
        <w:rPr>
          <w:sz w:val="22"/>
          <w:szCs w:val="22"/>
        </w:rPr>
        <w:t xml:space="preserve"> </w:t>
      </w:r>
    </w:p>
    <w:p w14:paraId="6DB8111C" w14:textId="06F42C1A" w:rsidR="0004544D" w:rsidRPr="00C020B8" w:rsidRDefault="0004544D" w:rsidP="0004544D">
      <w:r w:rsidRPr="00C020B8">
        <w:t xml:space="preserve">An experienced person (in the same occupational discipline as the </w:t>
      </w:r>
      <w:r w:rsidR="00CE36B9" w:rsidRPr="00C020B8">
        <w:t>Candidate</w:t>
      </w:r>
      <w:r w:rsidRPr="00C020B8">
        <w:t>) that may be required to support the assessment process by carrying out on the job observations on behalf of an Assessor.</w:t>
      </w:r>
    </w:p>
    <w:p w14:paraId="49755C60" w14:textId="77777777" w:rsidR="0004544D" w:rsidRPr="00C020B8" w:rsidRDefault="0004544D" w:rsidP="0004544D"/>
    <w:p w14:paraId="3665BCCC" w14:textId="77777777" w:rsidR="0004544D" w:rsidRPr="00C020B8" w:rsidRDefault="0004544D" w:rsidP="0004544D">
      <w:pPr>
        <w:pStyle w:val="Heading3"/>
        <w:rPr>
          <w:sz w:val="22"/>
          <w:szCs w:val="22"/>
        </w:rPr>
      </w:pPr>
      <w:r w:rsidRPr="00C020B8">
        <w:rPr>
          <w:sz w:val="22"/>
          <w:szCs w:val="22"/>
        </w:rPr>
        <w:t>Responsibilities</w:t>
      </w:r>
    </w:p>
    <w:p w14:paraId="7808A37D" w14:textId="7336A7B5" w:rsidR="0004544D" w:rsidRPr="00C020B8" w:rsidRDefault="0004544D" w:rsidP="0004544D">
      <w:pPr>
        <w:adjustRightInd w:val="0"/>
        <w:jc w:val="both"/>
      </w:pPr>
      <w:r w:rsidRPr="00C020B8">
        <w:t xml:space="preserve">It is expected that observations will be carried out by a qualified and occupationally competent Assessor.  If an organisation identifies that it is not possible or practical to have a qualified Assessor in the same location as a </w:t>
      </w:r>
      <w:r w:rsidR="00CE36B9" w:rsidRPr="00C020B8">
        <w:t>Candidate</w:t>
      </w:r>
      <w:r w:rsidRPr="00C020B8">
        <w:t xml:space="preserve"> for all required observations, it may be possible to use an Expert Witness to support the assessment process by carrying out required on-the-job observations.  </w:t>
      </w:r>
    </w:p>
    <w:p w14:paraId="7E74FA40" w14:textId="77777777" w:rsidR="0004544D" w:rsidRPr="00C020B8" w:rsidRDefault="0004544D" w:rsidP="0004544D">
      <w:pPr>
        <w:shd w:val="clear" w:color="auto" w:fill="FFFFFF" w:themeFill="background1"/>
        <w:adjustRightInd w:val="0"/>
        <w:jc w:val="both"/>
      </w:pPr>
    </w:p>
    <w:p w14:paraId="68B17597" w14:textId="77777777" w:rsidR="0004544D" w:rsidRPr="00C020B8" w:rsidRDefault="0004544D" w:rsidP="0004544D">
      <w:pPr>
        <w:jc w:val="both"/>
      </w:pPr>
      <w:r w:rsidRPr="00C020B8">
        <w:t>An Expert Witness’s main responsibilities are to:</w:t>
      </w:r>
    </w:p>
    <w:p w14:paraId="7AF903EF" w14:textId="77777777" w:rsidR="0004544D" w:rsidRPr="00C020B8" w:rsidRDefault="0004544D" w:rsidP="0004544D">
      <w:pPr>
        <w:jc w:val="both"/>
      </w:pPr>
    </w:p>
    <w:p w14:paraId="3E18DF1C" w14:textId="54BB5460" w:rsidR="0004544D" w:rsidRPr="00C020B8" w:rsidRDefault="0004544D" w:rsidP="0004544D">
      <w:pPr>
        <w:pStyle w:val="Default"/>
        <w:numPr>
          <w:ilvl w:val="0"/>
          <w:numId w:val="29"/>
        </w:numPr>
        <w:ind w:left="357" w:hanging="357"/>
        <w:jc w:val="both"/>
        <w:rPr>
          <w:rFonts w:ascii="Arial" w:hAnsi="Arial" w:cs="Arial"/>
          <w:color w:val="auto"/>
          <w:sz w:val="22"/>
          <w:szCs w:val="22"/>
        </w:rPr>
      </w:pPr>
      <w:r w:rsidRPr="00C020B8">
        <w:rPr>
          <w:rFonts w:ascii="Arial" w:hAnsi="Arial" w:cs="Arial"/>
          <w:color w:val="auto"/>
          <w:sz w:val="22"/>
          <w:szCs w:val="22"/>
        </w:rPr>
        <w:t xml:space="preserve">Agree a time with the </w:t>
      </w:r>
      <w:r w:rsidR="00CE36B9" w:rsidRPr="00C020B8">
        <w:rPr>
          <w:rFonts w:ascii="Arial" w:hAnsi="Arial" w:cs="Arial"/>
          <w:color w:val="auto"/>
          <w:sz w:val="22"/>
          <w:szCs w:val="22"/>
        </w:rPr>
        <w:t>Candidate</w:t>
      </w:r>
      <w:r w:rsidRPr="00C020B8">
        <w:rPr>
          <w:rFonts w:ascii="Arial" w:hAnsi="Arial" w:cs="Arial"/>
          <w:color w:val="auto"/>
          <w:sz w:val="22"/>
          <w:szCs w:val="22"/>
        </w:rPr>
        <w:t xml:space="preserve"> for the observation to take place and advise the Assessor, where possible.</w:t>
      </w:r>
    </w:p>
    <w:p w14:paraId="5B34159A" w14:textId="7F501B2D" w:rsidR="0004544D" w:rsidRPr="00C020B8" w:rsidRDefault="0004544D" w:rsidP="0004544D">
      <w:pPr>
        <w:pStyle w:val="Default"/>
        <w:numPr>
          <w:ilvl w:val="0"/>
          <w:numId w:val="29"/>
        </w:numPr>
        <w:ind w:left="357" w:hanging="357"/>
        <w:jc w:val="both"/>
        <w:rPr>
          <w:rFonts w:ascii="Arial" w:hAnsi="Arial" w:cs="Arial"/>
          <w:color w:val="auto"/>
          <w:sz w:val="22"/>
          <w:szCs w:val="22"/>
        </w:rPr>
      </w:pPr>
      <w:r w:rsidRPr="00C020B8">
        <w:rPr>
          <w:rFonts w:ascii="Arial" w:hAnsi="Arial" w:cs="Arial"/>
          <w:color w:val="auto"/>
          <w:sz w:val="22"/>
          <w:szCs w:val="22"/>
        </w:rPr>
        <w:t xml:space="preserve">Observe the </w:t>
      </w:r>
      <w:r w:rsidR="00CE36B9" w:rsidRPr="00C020B8">
        <w:rPr>
          <w:rFonts w:ascii="Arial" w:hAnsi="Arial" w:cs="Arial"/>
          <w:color w:val="auto"/>
          <w:sz w:val="22"/>
          <w:szCs w:val="22"/>
        </w:rPr>
        <w:t>Candidate</w:t>
      </w:r>
      <w:r w:rsidRPr="00C020B8">
        <w:rPr>
          <w:rFonts w:ascii="Arial" w:hAnsi="Arial" w:cs="Arial"/>
          <w:color w:val="auto"/>
          <w:sz w:val="22"/>
          <w:szCs w:val="22"/>
        </w:rPr>
        <w:t xml:space="preserve"> carrying out normal work tasks/activities.</w:t>
      </w:r>
    </w:p>
    <w:p w14:paraId="782DAC61" w14:textId="6A2A6065" w:rsidR="0004544D" w:rsidRPr="00C020B8" w:rsidRDefault="0004544D" w:rsidP="0004544D">
      <w:pPr>
        <w:pStyle w:val="Default"/>
        <w:numPr>
          <w:ilvl w:val="0"/>
          <w:numId w:val="29"/>
        </w:numPr>
        <w:ind w:left="357" w:hanging="357"/>
        <w:jc w:val="both"/>
        <w:rPr>
          <w:rFonts w:ascii="Arial" w:hAnsi="Arial" w:cs="Arial"/>
          <w:color w:val="auto"/>
          <w:sz w:val="22"/>
          <w:szCs w:val="22"/>
        </w:rPr>
      </w:pPr>
      <w:r w:rsidRPr="00C020B8">
        <w:rPr>
          <w:rFonts w:ascii="Arial" w:hAnsi="Arial" w:cs="Arial"/>
          <w:color w:val="auto"/>
          <w:sz w:val="22"/>
          <w:szCs w:val="22"/>
        </w:rPr>
        <w:t xml:space="preserve">Record details of each task/activity observed and confirm its completion according to the required </w:t>
      </w:r>
      <w:r w:rsidR="003E7BAD">
        <w:rPr>
          <w:rFonts w:ascii="Arial" w:hAnsi="Arial" w:cs="Arial"/>
          <w:color w:val="auto"/>
          <w:sz w:val="22"/>
          <w:szCs w:val="22"/>
        </w:rPr>
        <w:t>Standard(s).</w:t>
      </w:r>
    </w:p>
    <w:p w14:paraId="0B3AF39C" w14:textId="77777777" w:rsidR="0004544D" w:rsidRPr="00C020B8" w:rsidRDefault="0004544D" w:rsidP="0004544D">
      <w:pPr>
        <w:pStyle w:val="Default"/>
        <w:numPr>
          <w:ilvl w:val="0"/>
          <w:numId w:val="29"/>
        </w:numPr>
        <w:ind w:left="357" w:hanging="357"/>
        <w:jc w:val="both"/>
        <w:rPr>
          <w:rFonts w:ascii="Arial" w:hAnsi="Arial" w:cs="Arial"/>
          <w:color w:val="auto"/>
          <w:sz w:val="22"/>
          <w:szCs w:val="22"/>
        </w:rPr>
      </w:pPr>
      <w:r w:rsidRPr="00C020B8">
        <w:rPr>
          <w:rFonts w:ascii="Arial" w:hAnsi="Arial" w:cs="Arial"/>
          <w:color w:val="auto"/>
          <w:sz w:val="22"/>
          <w:szCs w:val="22"/>
        </w:rPr>
        <w:t>Authenticate any supporting documentation/job paperwork.</w:t>
      </w:r>
    </w:p>
    <w:p w14:paraId="6FA07093" w14:textId="1B902BD7" w:rsidR="0004544D" w:rsidRPr="00C020B8" w:rsidRDefault="0004544D" w:rsidP="0004544D">
      <w:pPr>
        <w:pStyle w:val="Default"/>
        <w:numPr>
          <w:ilvl w:val="0"/>
          <w:numId w:val="29"/>
        </w:numPr>
        <w:ind w:left="357" w:hanging="357"/>
        <w:jc w:val="both"/>
        <w:rPr>
          <w:rFonts w:ascii="Arial" w:hAnsi="Arial" w:cs="Arial"/>
          <w:color w:val="auto"/>
          <w:sz w:val="22"/>
          <w:szCs w:val="22"/>
        </w:rPr>
      </w:pPr>
      <w:r w:rsidRPr="00C020B8">
        <w:rPr>
          <w:rFonts w:ascii="Arial" w:hAnsi="Arial" w:cs="Arial"/>
          <w:color w:val="auto"/>
          <w:sz w:val="22"/>
          <w:szCs w:val="22"/>
        </w:rPr>
        <w:t xml:space="preserve">Record any questions asked during the observation to support or authenticate the </w:t>
      </w:r>
      <w:r w:rsidR="00CE36B9" w:rsidRPr="00C020B8">
        <w:rPr>
          <w:rFonts w:ascii="Arial" w:hAnsi="Arial" w:cs="Arial"/>
          <w:color w:val="auto"/>
          <w:sz w:val="22"/>
          <w:szCs w:val="22"/>
        </w:rPr>
        <w:t>Candidate</w:t>
      </w:r>
      <w:r w:rsidRPr="00C020B8">
        <w:rPr>
          <w:rFonts w:ascii="Arial" w:hAnsi="Arial" w:cs="Arial"/>
          <w:color w:val="auto"/>
          <w:sz w:val="22"/>
          <w:szCs w:val="22"/>
        </w:rPr>
        <w:t>’s work.</w:t>
      </w:r>
    </w:p>
    <w:p w14:paraId="790BAD7C" w14:textId="5146C545" w:rsidR="0004544D" w:rsidRPr="00C020B8" w:rsidRDefault="0004544D" w:rsidP="0004544D">
      <w:pPr>
        <w:pStyle w:val="Default"/>
        <w:numPr>
          <w:ilvl w:val="0"/>
          <w:numId w:val="29"/>
        </w:numPr>
        <w:ind w:left="357" w:hanging="357"/>
        <w:jc w:val="both"/>
        <w:rPr>
          <w:rFonts w:ascii="Arial" w:hAnsi="Arial" w:cs="Arial"/>
          <w:color w:val="auto"/>
          <w:sz w:val="22"/>
          <w:szCs w:val="22"/>
        </w:rPr>
      </w:pPr>
      <w:r w:rsidRPr="00C020B8">
        <w:rPr>
          <w:rFonts w:ascii="Arial" w:hAnsi="Arial" w:cs="Arial"/>
          <w:color w:val="auto"/>
          <w:sz w:val="22"/>
          <w:szCs w:val="22"/>
        </w:rPr>
        <w:t xml:space="preserve">Comment on the </w:t>
      </w:r>
      <w:r w:rsidR="00CE36B9" w:rsidRPr="00C020B8">
        <w:rPr>
          <w:rFonts w:ascii="Arial" w:hAnsi="Arial" w:cs="Arial"/>
          <w:color w:val="auto"/>
          <w:sz w:val="22"/>
          <w:szCs w:val="22"/>
        </w:rPr>
        <w:t>Candidate</w:t>
      </w:r>
      <w:r w:rsidRPr="00C020B8">
        <w:rPr>
          <w:rFonts w:ascii="Arial" w:hAnsi="Arial" w:cs="Arial"/>
          <w:color w:val="auto"/>
          <w:sz w:val="22"/>
          <w:szCs w:val="22"/>
        </w:rPr>
        <w:t xml:space="preserve">’s technical ability, knowledge of equipment, </w:t>
      </w:r>
      <w:proofErr w:type="gramStart"/>
      <w:r w:rsidRPr="00C020B8">
        <w:rPr>
          <w:rFonts w:ascii="Arial" w:hAnsi="Arial" w:cs="Arial"/>
          <w:color w:val="auto"/>
          <w:sz w:val="22"/>
          <w:szCs w:val="22"/>
        </w:rPr>
        <w:t>team work</w:t>
      </w:r>
      <w:proofErr w:type="gramEnd"/>
      <w:r w:rsidRPr="00C020B8">
        <w:rPr>
          <w:rFonts w:ascii="Arial" w:hAnsi="Arial" w:cs="Arial"/>
          <w:color w:val="auto"/>
          <w:sz w:val="22"/>
          <w:szCs w:val="22"/>
        </w:rPr>
        <w:t>, safe working practices, etc.</w:t>
      </w:r>
    </w:p>
    <w:p w14:paraId="500B7870" w14:textId="7080FEA5" w:rsidR="0004544D" w:rsidRPr="00C020B8" w:rsidRDefault="0004544D" w:rsidP="0004544D">
      <w:pPr>
        <w:pStyle w:val="Default"/>
        <w:numPr>
          <w:ilvl w:val="0"/>
          <w:numId w:val="29"/>
        </w:numPr>
        <w:ind w:left="357" w:hanging="357"/>
        <w:jc w:val="both"/>
        <w:rPr>
          <w:rFonts w:ascii="Arial" w:hAnsi="Arial" w:cs="Arial"/>
          <w:color w:val="auto"/>
          <w:sz w:val="22"/>
          <w:szCs w:val="22"/>
        </w:rPr>
      </w:pPr>
      <w:r w:rsidRPr="00C020B8">
        <w:rPr>
          <w:rFonts w:ascii="Arial" w:hAnsi="Arial" w:cs="Arial"/>
          <w:color w:val="auto"/>
          <w:sz w:val="22"/>
          <w:szCs w:val="22"/>
        </w:rPr>
        <w:t xml:space="preserve">Make a recommendation to the Assessor on the </w:t>
      </w:r>
      <w:r w:rsidR="00CE36B9" w:rsidRPr="00C020B8">
        <w:rPr>
          <w:rFonts w:ascii="Arial" w:hAnsi="Arial" w:cs="Arial"/>
          <w:color w:val="auto"/>
          <w:sz w:val="22"/>
          <w:szCs w:val="22"/>
        </w:rPr>
        <w:t>Candidate</w:t>
      </w:r>
      <w:r w:rsidRPr="00C020B8">
        <w:rPr>
          <w:rFonts w:ascii="Arial" w:hAnsi="Arial" w:cs="Arial"/>
          <w:color w:val="auto"/>
          <w:sz w:val="22"/>
          <w:szCs w:val="22"/>
        </w:rPr>
        <w:t xml:space="preserve">’s ability to carry out the task/activity. </w:t>
      </w:r>
    </w:p>
    <w:p w14:paraId="63184D68" w14:textId="77777777" w:rsidR="0004544D" w:rsidRPr="00C020B8" w:rsidRDefault="0004544D" w:rsidP="0004544D">
      <w:pPr>
        <w:adjustRightInd w:val="0"/>
        <w:jc w:val="both"/>
      </w:pPr>
    </w:p>
    <w:p w14:paraId="365E7E20" w14:textId="77777777" w:rsidR="0004544D" w:rsidRPr="00C020B8" w:rsidRDefault="0004544D" w:rsidP="0004544D">
      <w:pPr>
        <w:adjustRightInd w:val="0"/>
        <w:jc w:val="both"/>
      </w:pPr>
      <w:r w:rsidRPr="00C020B8">
        <w:t>Where on-the-job observations are carried out by an Expert Witness, a qualified Assessor must continue to be responsible for all other assessment activities, including assessment planning, providing feedback, review of product evidence and questioning to confirm that all performance and knowledge requirements have been met.</w:t>
      </w:r>
    </w:p>
    <w:p w14:paraId="62196851" w14:textId="77777777" w:rsidR="0004544D" w:rsidRPr="00C020B8" w:rsidRDefault="0004544D" w:rsidP="0004544D">
      <w:pPr>
        <w:pStyle w:val="Default"/>
        <w:ind w:left="720"/>
        <w:jc w:val="both"/>
        <w:rPr>
          <w:rFonts w:ascii="Arial" w:hAnsi="Arial" w:cs="Arial"/>
          <w:color w:val="auto"/>
          <w:sz w:val="22"/>
          <w:szCs w:val="22"/>
        </w:rPr>
      </w:pPr>
    </w:p>
    <w:p w14:paraId="03C3CB57" w14:textId="2BABB4E1" w:rsidR="0004544D" w:rsidRPr="00C020B8" w:rsidRDefault="0004544D" w:rsidP="0004544D">
      <w:r w:rsidRPr="00C020B8">
        <w:t xml:space="preserve">The Assessor must review all the evidence provided by the </w:t>
      </w:r>
      <w:r w:rsidR="00CE36B9" w:rsidRPr="00C020B8">
        <w:t>Candidate</w:t>
      </w:r>
      <w:r w:rsidRPr="00C020B8">
        <w:t xml:space="preserve">, including the observation by the Expert Witness, and make a judgement on the competence of the </w:t>
      </w:r>
      <w:r w:rsidR="00CE36B9" w:rsidRPr="00C020B8">
        <w:t>Candidate</w:t>
      </w:r>
      <w:r w:rsidRPr="00C020B8">
        <w:t>.  It is the responsibility of the Assessor to make sure that any testimony from an Expert Witness is reliable and technically valid.</w:t>
      </w:r>
    </w:p>
    <w:p w14:paraId="095C68E7" w14:textId="77777777" w:rsidR="0004544D" w:rsidRPr="00C020B8" w:rsidRDefault="0004544D" w:rsidP="0004544D"/>
    <w:p w14:paraId="39312469" w14:textId="77777777" w:rsidR="0004544D" w:rsidRPr="00C020B8" w:rsidRDefault="0004544D" w:rsidP="0004544D">
      <w:pPr>
        <w:pStyle w:val="Heading3"/>
        <w:rPr>
          <w:sz w:val="22"/>
          <w:szCs w:val="22"/>
        </w:rPr>
      </w:pPr>
      <w:r w:rsidRPr="00C020B8">
        <w:rPr>
          <w:sz w:val="22"/>
          <w:szCs w:val="22"/>
        </w:rPr>
        <w:t xml:space="preserve">Minimum Requirements </w:t>
      </w:r>
    </w:p>
    <w:p w14:paraId="2D4E965B" w14:textId="77777777" w:rsidR="0004544D" w:rsidRPr="00C020B8" w:rsidRDefault="0004544D" w:rsidP="0004544D">
      <w:pPr>
        <w:adjustRightInd w:val="0"/>
        <w:jc w:val="both"/>
      </w:pPr>
      <w:r w:rsidRPr="00C020B8">
        <w:t>The following minimum requirements must be met for Expert Witnesses:</w:t>
      </w:r>
    </w:p>
    <w:p w14:paraId="3AEADC1A" w14:textId="77777777" w:rsidR="0004544D" w:rsidRPr="00C020B8" w:rsidRDefault="0004544D" w:rsidP="0004544D">
      <w:pPr>
        <w:adjustRightInd w:val="0"/>
        <w:jc w:val="both"/>
      </w:pPr>
    </w:p>
    <w:p w14:paraId="5F0AB061" w14:textId="3D87691A" w:rsidR="0004544D" w:rsidRPr="00C020B8" w:rsidRDefault="0004544D" w:rsidP="0004544D">
      <w:pPr>
        <w:pStyle w:val="ListParagraph"/>
        <w:widowControl/>
        <w:numPr>
          <w:ilvl w:val="0"/>
          <w:numId w:val="32"/>
        </w:numPr>
        <w:tabs>
          <w:tab w:val="left" w:pos="426"/>
        </w:tabs>
        <w:adjustRightInd w:val="0"/>
        <w:ind w:left="357" w:hanging="357"/>
        <w:jc w:val="both"/>
      </w:pPr>
      <w:r w:rsidRPr="00C020B8">
        <w:t xml:space="preserve">An Expert Witness must have demonstrable relevant experience in the discipline area in which the </w:t>
      </w:r>
      <w:r w:rsidR="00CE36B9" w:rsidRPr="00C020B8">
        <w:t>Candidate</w:t>
      </w:r>
      <w:r w:rsidRPr="00C020B8">
        <w:t xml:space="preserve"> is being assessed.</w:t>
      </w:r>
    </w:p>
    <w:p w14:paraId="381D5866" w14:textId="6ED0AAA0" w:rsidR="0004544D" w:rsidRPr="00C020B8" w:rsidRDefault="0004544D" w:rsidP="0004544D">
      <w:pPr>
        <w:pStyle w:val="ListParagraph"/>
        <w:widowControl/>
        <w:numPr>
          <w:ilvl w:val="0"/>
          <w:numId w:val="32"/>
        </w:numPr>
        <w:tabs>
          <w:tab w:val="left" w:pos="426"/>
        </w:tabs>
        <w:adjustRightInd w:val="0"/>
        <w:ind w:left="357" w:hanging="357"/>
        <w:jc w:val="both"/>
        <w:rPr>
          <w:color w:val="FF0000"/>
        </w:rPr>
      </w:pPr>
      <w:r w:rsidRPr="00C020B8">
        <w:t>An Expert Witness must be registered</w:t>
      </w:r>
      <w:r w:rsidR="00A32C1A">
        <w:t xml:space="preserve"> by the Centre</w:t>
      </w:r>
      <w:r w:rsidRPr="00C020B8">
        <w:t xml:space="preserve"> and details of relevant experience must be available for review by </w:t>
      </w:r>
      <w:r w:rsidR="00844AC9" w:rsidRPr="00C020B8">
        <w:t xml:space="preserve">External Verifiers </w:t>
      </w:r>
      <w:r w:rsidRPr="00C020B8">
        <w:t>at External Verification Visits/Audits</w:t>
      </w:r>
      <w:r w:rsidR="00844AC9" w:rsidRPr="00C020B8">
        <w:t>.</w:t>
      </w:r>
    </w:p>
    <w:p w14:paraId="58D50EC1" w14:textId="6BB37A5D" w:rsidR="0004544D" w:rsidRPr="00C020B8" w:rsidRDefault="0004544D" w:rsidP="0004544D">
      <w:pPr>
        <w:pStyle w:val="Default"/>
        <w:numPr>
          <w:ilvl w:val="0"/>
          <w:numId w:val="32"/>
        </w:numPr>
        <w:ind w:left="357" w:hanging="357"/>
        <w:jc w:val="both"/>
        <w:rPr>
          <w:rFonts w:ascii="Arial" w:hAnsi="Arial" w:cs="Arial"/>
          <w:color w:val="auto"/>
          <w:sz w:val="22"/>
          <w:szCs w:val="22"/>
        </w:rPr>
      </w:pPr>
      <w:r w:rsidRPr="00C020B8">
        <w:rPr>
          <w:rFonts w:ascii="Arial" w:hAnsi="Arial" w:cs="Arial"/>
          <w:color w:val="auto"/>
          <w:sz w:val="22"/>
          <w:szCs w:val="22"/>
        </w:rPr>
        <w:t xml:space="preserve">An Expert Witness must participate in a briefing session to ensure that they are familiar with the Standard(s) being assessed and the role of an Expert Witness – evidence of the briefing processes must be available for review by </w:t>
      </w:r>
      <w:r w:rsidR="00844AC9" w:rsidRPr="00C020B8">
        <w:rPr>
          <w:rFonts w:ascii="Arial" w:hAnsi="Arial" w:cs="Arial"/>
          <w:color w:val="auto"/>
          <w:sz w:val="22"/>
          <w:szCs w:val="22"/>
        </w:rPr>
        <w:t xml:space="preserve">External Verifiers </w:t>
      </w:r>
      <w:r w:rsidRPr="00C020B8">
        <w:rPr>
          <w:rFonts w:ascii="Arial" w:hAnsi="Arial" w:cs="Arial"/>
          <w:color w:val="auto"/>
          <w:sz w:val="22"/>
          <w:szCs w:val="22"/>
        </w:rPr>
        <w:t xml:space="preserve">at External Verification </w:t>
      </w:r>
      <w:r w:rsidR="00844AC9" w:rsidRPr="00C020B8">
        <w:rPr>
          <w:rFonts w:ascii="Arial" w:hAnsi="Arial" w:cs="Arial"/>
          <w:color w:val="auto"/>
          <w:sz w:val="22"/>
          <w:szCs w:val="22"/>
        </w:rPr>
        <w:t xml:space="preserve">Visits </w:t>
      </w:r>
      <w:r w:rsidRPr="00C020B8">
        <w:rPr>
          <w:rFonts w:ascii="Arial" w:hAnsi="Arial" w:cs="Arial"/>
          <w:color w:val="auto"/>
          <w:sz w:val="22"/>
          <w:szCs w:val="22"/>
        </w:rPr>
        <w:t xml:space="preserve">– guidance on what should be included in a briefing session is detailed in </w:t>
      </w:r>
      <w:r w:rsidR="00FF2CCB" w:rsidRPr="00C020B8">
        <w:rPr>
          <w:rFonts w:ascii="Arial" w:hAnsi="Arial" w:cs="Arial"/>
          <w:color w:val="auto"/>
          <w:sz w:val="22"/>
          <w:szCs w:val="22"/>
        </w:rPr>
        <w:t>Additional section.</w:t>
      </w:r>
      <w:r w:rsidRPr="00C020B8">
        <w:rPr>
          <w:rFonts w:ascii="Arial" w:hAnsi="Arial" w:cs="Arial"/>
          <w:color w:val="auto"/>
          <w:sz w:val="22"/>
          <w:szCs w:val="22"/>
        </w:rPr>
        <w:t xml:space="preserve"> </w:t>
      </w:r>
    </w:p>
    <w:p w14:paraId="00A3E9D1" w14:textId="77777777" w:rsidR="0004544D" w:rsidRPr="00C020B8" w:rsidRDefault="0004544D" w:rsidP="0004544D"/>
    <w:p w14:paraId="2B4DB964" w14:textId="72D30BA4" w:rsidR="0004544D" w:rsidRPr="00C020B8" w:rsidRDefault="0004544D" w:rsidP="0004544D">
      <w:r w:rsidRPr="00C020B8">
        <w:t xml:space="preserve">Please see </w:t>
      </w:r>
      <w:r w:rsidR="00FF2CCB" w:rsidRPr="00C020B8">
        <w:t>Additional section</w:t>
      </w:r>
      <w:r w:rsidRPr="00C020B8">
        <w:t xml:space="preserve"> for further guidance on utilising an Expert Witness.</w:t>
      </w:r>
    </w:p>
    <w:p w14:paraId="5FCDE939" w14:textId="77777777" w:rsidR="0004544D" w:rsidRPr="00C020B8" w:rsidRDefault="0004544D" w:rsidP="0004544D"/>
    <w:p w14:paraId="79792860" w14:textId="77777777" w:rsidR="0004544D" w:rsidRPr="00C020B8" w:rsidRDefault="0004544D" w:rsidP="0004544D">
      <w:pPr>
        <w:adjustRightInd w:val="0"/>
        <w:jc w:val="both"/>
        <w:rPr>
          <w:b/>
          <w:bCs/>
        </w:rPr>
      </w:pPr>
      <w:r w:rsidRPr="00C020B8">
        <w:rPr>
          <w:b/>
          <w:bCs/>
        </w:rPr>
        <w:t>Details of Expert Witness competence and experience must be recorded for review by Awarding Bodies/Audit Organisations, as relevant.</w:t>
      </w:r>
    </w:p>
    <w:p w14:paraId="380EEC5A" w14:textId="77777777" w:rsidR="0004544D" w:rsidRPr="00C020B8" w:rsidRDefault="0004544D" w:rsidP="0004544D"/>
    <w:p w14:paraId="2F8E0DBE" w14:textId="77777777" w:rsidR="0004544D" w:rsidRPr="00C020B8" w:rsidRDefault="0004544D" w:rsidP="0004544D">
      <w:pPr>
        <w:pStyle w:val="Heading2"/>
        <w:rPr>
          <w:sz w:val="22"/>
          <w:szCs w:val="22"/>
        </w:rPr>
      </w:pPr>
      <w:bookmarkStart w:id="53" w:name="_Toc130825214"/>
      <w:r w:rsidRPr="00C020B8">
        <w:rPr>
          <w:sz w:val="22"/>
          <w:szCs w:val="22"/>
        </w:rPr>
        <w:t>Assessors</w:t>
      </w:r>
      <w:bookmarkEnd w:id="53"/>
    </w:p>
    <w:p w14:paraId="77B1EBB7" w14:textId="211BEF01" w:rsidR="0004544D" w:rsidRPr="00C020B8" w:rsidRDefault="0004544D" w:rsidP="0004544D">
      <w:r w:rsidRPr="00C020B8">
        <w:t xml:space="preserve">An Assessor assesses </w:t>
      </w:r>
      <w:r w:rsidR="00CE36B9" w:rsidRPr="00C020B8">
        <w:t>Candidate</w:t>
      </w:r>
      <w:r w:rsidRPr="00C020B8">
        <w:t xml:space="preserve"> performance and evidence against a relevant </w:t>
      </w:r>
      <w:r w:rsidR="00844AC9" w:rsidRPr="00C020B8">
        <w:t>Standard(s).</w:t>
      </w:r>
    </w:p>
    <w:p w14:paraId="7FACC66F" w14:textId="77777777" w:rsidR="0004544D" w:rsidRPr="00C020B8" w:rsidRDefault="0004544D" w:rsidP="0004544D"/>
    <w:p w14:paraId="22459360" w14:textId="77777777" w:rsidR="0004544D" w:rsidRPr="00C020B8" w:rsidRDefault="0004544D" w:rsidP="0004544D">
      <w:pPr>
        <w:pStyle w:val="Heading3"/>
        <w:rPr>
          <w:sz w:val="22"/>
          <w:szCs w:val="22"/>
        </w:rPr>
      </w:pPr>
      <w:r w:rsidRPr="00C020B8">
        <w:rPr>
          <w:sz w:val="22"/>
          <w:szCs w:val="22"/>
        </w:rPr>
        <w:t>Responsibilities</w:t>
      </w:r>
    </w:p>
    <w:p w14:paraId="623397E0" w14:textId="77777777" w:rsidR="0004544D" w:rsidRPr="00C020B8" w:rsidRDefault="0004544D" w:rsidP="0004544D">
      <w:pPr>
        <w:adjustRightInd w:val="0"/>
        <w:jc w:val="both"/>
      </w:pPr>
      <w:r w:rsidRPr="00C020B8">
        <w:t>Assessors’ responsibilities are to:</w:t>
      </w:r>
    </w:p>
    <w:p w14:paraId="70564995" w14:textId="77777777" w:rsidR="0004544D" w:rsidRPr="00C020B8" w:rsidRDefault="0004544D" w:rsidP="0004544D">
      <w:pPr>
        <w:adjustRightInd w:val="0"/>
        <w:jc w:val="both"/>
      </w:pPr>
    </w:p>
    <w:p w14:paraId="3951D7D5" w14:textId="77777777" w:rsidR="0004544D" w:rsidRPr="00C020B8" w:rsidRDefault="0004544D" w:rsidP="0004544D">
      <w:pPr>
        <w:pStyle w:val="ListParagraph"/>
        <w:widowControl/>
        <w:numPr>
          <w:ilvl w:val="0"/>
          <w:numId w:val="25"/>
        </w:numPr>
        <w:autoSpaceDE/>
        <w:autoSpaceDN/>
        <w:contextualSpacing/>
      </w:pPr>
      <w:r w:rsidRPr="00C020B8">
        <w:t>Register and carry out an Induction before practicing for the organisation.</w:t>
      </w:r>
    </w:p>
    <w:p w14:paraId="13D1E637" w14:textId="45752384" w:rsidR="0004544D" w:rsidRPr="00C020B8" w:rsidRDefault="0004544D" w:rsidP="0004544D">
      <w:pPr>
        <w:pStyle w:val="ListParagraph"/>
        <w:widowControl/>
        <w:numPr>
          <w:ilvl w:val="0"/>
          <w:numId w:val="25"/>
        </w:numPr>
        <w:autoSpaceDE/>
        <w:autoSpaceDN/>
        <w:contextualSpacing/>
      </w:pPr>
      <w:r w:rsidRPr="00C020B8">
        <w:t>Fully understand and comply with the requirements defined in the Standard(s) for which they are carrying out the assessment.</w:t>
      </w:r>
    </w:p>
    <w:p w14:paraId="76798BAB" w14:textId="599D8EFB" w:rsidR="0004544D" w:rsidRPr="00C020B8" w:rsidRDefault="0004544D" w:rsidP="0004544D">
      <w:pPr>
        <w:pStyle w:val="ListParagraph"/>
        <w:widowControl/>
        <w:numPr>
          <w:ilvl w:val="0"/>
          <w:numId w:val="25"/>
        </w:numPr>
        <w:adjustRightInd w:val="0"/>
        <w:contextualSpacing/>
      </w:pPr>
      <w:r w:rsidRPr="00C020B8">
        <w:t xml:space="preserve">Fully understand and comply with the required assessment and internal verification processes and quality procedures for the </w:t>
      </w:r>
      <w:r w:rsidR="00844AC9" w:rsidRPr="00C020B8">
        <w:t>Standard(s).</w:t>
      </w:r>
    </w:p>
    <w:p w14:paraId="2FF00819" w14:textId="77777777" w:rsidR="0004544D" w:rsidRPr="00C020B8" w:rsidRDefault="0004544D" w:rsidP="0004544D">
      <w:pPr>
        <w:pStyle w:val="ListParagraph"/>
        <w:widowControl/>
        <w:numPr>
          <w:ilvl w:val="0"/>
          <w:numId w:val="25"/>
        </w:numPr>
        <w:adjustRightInd w:val="0"/>
        <w:contextualSpacing/>
      </w:pPr>
      <w:r w:rsidRPr="00C020B8">
        <w:t>Plan and manage the assessment process.</w:t>
      </w:r>
    </w:p>
    <w:p w14:paraId="26736CFE" w14:textId="26F4819A" w:rsidR="0004544D" w:rsidRPr="00C020B8" w:rsidRDefault="0004544D" w:rsidP="0004544D">
      <w:pPr>
        <w:pStyle w:val="ListParagraph"/>
        <w:widowControl/>
        <w:numPr>
          <w:ilvl w:val="0"/>
          <w:numId w:val="25"/>
        </w:numPr>
        <w:adjustRightInd w:val="0"/>
        <w:contextualSpacing/>
      </w:pPr>
      <w:r w:rsidRPr="00C020B8">
        <w:t xml:space="preserve">Carry out assessments of </w:t>
      </w:r>
      <w:r w:rsidR="00CE36B9" w:rsidRPr="00C020B8">
        <w:t>Candidate</w:t>
      </w:r>
      <w:r w:rsidRPr="00C020B8">
        <w:t xml:space="preserve">s performance and/or knowledge against the </w:t>
      </w:r>
      <w:r w:rsidR="00844AC9" w:rsidRPr="00C020B8">
        <w:t>relevant Standard(s)</w:t>
      </w:r>
    </w:p>
    <w:p w14:paraId="352911CF" w14:textId="7FD6FF9A" w:rsidR="0004544D" w:rsidRPr="00C020B8" w:rsidRDefault="0004544D" w:rsidP="0004544D">
      <w:pPr>
        <w:pStyle w:val="ListParagraph"/>
        <w:widowControl/>
        <w:numPr>
          <w:ilvl w:val="0"/>
          <w:numId w:val="25"/>
        </w:numPr>
        <w:adjustRightInd w:val="0"/>
        <w:contextualSpacing/>
      </w:pPr>
      <w:r w:rsidRPr="00C020B8">
        <w:t xml:space="preserve">Ensure that </w:t>
      </w:r>
      <w:r w:rsidR="00CE36B9" w:rsidRPr="00C020B8">
        <w:t>Candidate</w:t>
      </w:r>
      <w:r w:rsidRPr="00C020B8">
        <w:t>s’ evidence is aligned to the VARCS principles (valid, authentic, reliable, current and sufficient).</w:t>
      </w:r>
    </w:p>
    <w:p w14:paraId="039CFB42" w14:textId="2C794717" w:rsidR="0004544D" w:rsidRPr="00C020B8" w:rsidRDefault="0004544D" w:rsidP="0004544D">
      <w:pPr>
        <w:pStyle w:val="ListParagraph"/>
        <w:widowControl/>
        <w:numPr>
          <w:ilvl w:val="0"/>
          <w:numId w:val="25"/>
        </w:numPr>
        <w:adjustRightInd w:val="0"/>
        <w:contextualSpacing/>
      </w:pPr>
      <w:proofErr w:type="gramStart"/>
      <w:r w:rsidRPr="00C020B8">
        <w:t>Make a determination</w:t>
      </w:r>
      <w:proofErr w:type="gramEnd"/>
      <w:r w:rsidRPr="00C020B8">
        <w:t xml:space="preserve"> as to the competence of the </w:t>
      </w:r>
      <w:r w:rsidR="00CE36B9" w:rsidRPr="00C020B8">
        <w:t>Candidate</w:t>
      </w:r>
      <w:r w:rsidRPr="00C020B8">
        <w:t>.</w:t>
      </w:r>
    </w:p>
    <w:p w14:paraId="385FCA46" w14:textId="44AD1BB9" w:rsidR="0004544D" w:rsidRPr="00C020B8" w:rsidRDefault="0004544D" w:rsidP="0004544D">
      <w:pPr>
        <w:pStyle w:val="ListParagraph"/>
        <w:widowControl/>
        <w:numPr>
          <w:ilvl w:val="0"/>
          <w:numId w:val="25"/>
        </w:numPr>
        <w:autoSpaceDE/>
        <w:autoSpaceDN/>
        <w:contextualSpacing/>
      </w:pPr>
      <w:r w:rsidRPr="00C020B8">
        <w:t xml:space="preserve">Record and maintain assessment decisions &amp; </w:t>
      </w:r>
      <w:r w:rsidR="00CE36B9" w:rsidRPr="00C020B8">
        <w:t>Candidate</w:t>
      </w:r>
      <w:r w:rsidRPr="00C020B8">
        <w:t xml:space="preserve"> feedback as defined by the organisation.</w:t>
      </w:r>
    </w:p>
    <w:p w14:paraId="4DDFBB37" w14:textId="5A2152EE" w:rsidR="0004544D" w:rsidRPr="00C020B8" w:rsidRDefault="0004544D" w:rsidP="0004544D">
      <w:pPr>
        <w:pStyle w:val="ListParagraph"/>
        <w:numPr>
          <w:ilvl w:val="0"/>
          <w:numId w:val="25"/>
        </w:numPr>
        <w:adjustRightInd w:val="0"/>
        <w:spacing w:after="100"/>
        <w:contextualSpacing/>
      </w:pPr>
      <w:r w:rsidRPr="00C020B8">
        <w:t xml:space="preserve">Support the </w:t>
      </w:r>
      <w:r w:rsidR="00CE36B9" w:rsidRPr="00C020B8">
        <w:t>Candidate</w:t>
      </w:r>
      <w:r w:rsidRPr="00C020B8">
        <w:t xml:space="preserve"> through the qualification. </w:t>
      </w:r>
    </w:p>
    <w:p w14:paraId="1B1E1A61" w14:textId="77777777" w:rsidR="0004544D" w:rsidRPr="00C020B8" w:rsidRDefault="0004544D" w:rsidP="0004544D">
      <w:pPr>
        <w:pStyle w:val="ListParagraph"/>
        <w:numPr>
          <w:ilvl w:val="0"/>
          <w:numId w:val="25"/>
        </w:numPr>
        <w:adjustRightInd w:val="0"/>
        <w:spacing w:after="100"/>
        <w:contextualSpacing/>
      </w:pPr>
      <w:r w:rsidRPr="00C020B8">
        <w:t>Ensure all assessment instruments and methods are valid, reliable, practicable, equitable and fair.</w:t>
      </w:r>
    </w:p>
    <w:p w14:paraId="6CE6B634" w14:textId="5AD22D93" w:rsidR="0004544D" w:rsidRPr="00C020B8" w:rsidRDefault="0004544D" w:rsidP="0004544D">
      <w:pPr>
        <w:pStyle w:val="ListParagraph"/>
        <w:numPr>
          <w:ilvl w:val="0"/>
          <w:numId w:val="25"/>
        </w:numPr>
        <w:adjustRightInd w:val="0"/>
        <w:spacing w:after="100"/>
        <w:contextualSpacing/>
      </w:pPr>
      <w:r w:rsidRPr="00C020B8">
        <w:t xml:space="preserve">Identify gaps in a </w:t>
      </w:r>
      <w:r w:rsidR="00CE36B9" w:rsidRPr="00C020B8">
        <w:t>Candidate</w:t>
      </w:r>
      <w:r w:rsidRPr="00C020B8">
        <w:t xml:space="preserve">s competency and work with the </w:t>
      </w:r>
      <w:r w:rsidR="00CE36B9" w:rsidRPr="00C020B8">
        <w:t>Candidate</w:t>
      </w:r>
      <w:r w:rsidRPr="00C020B8">
        <w:t xml:space="preserve"> to provide a plan in closing such gaps (where necessary).</w:t>
      </w:r>
    </w:p>
    <w:p w14:paraId="69E8E738" w14:textId="318E6C63" w:rsidR="0004544D" w:rsidRPr="00C020B8" w:rsidRDefault="0004544D" w:rsidP="0004544D">
      <w:pPr>
        <w:pStyle w:val="ListParagraph"/>
        <w:numPr>
          <w:ilvl w:val="0"/>
          <w:numId w:val="25"/>
        </w:numPr>
        <w:adjustRightInd w:val="0"/>
        <w:spacing w:after="100"/>
        <w:contextualSpacing/>
      </w:pPr>
      <w:r w:rsidRPr="00C020B8">
        <w:t xml:space="preserve">Identify and support </w:t>
      </w:r>
      <w:r w:rsidR="00CE36B9" w:rsidRPr="00C020B8">
        <w:t>Candidate</w:t>
      </w:r>
      <w:r w:rsidRPr="00C020B8">
        <w:t xml:space="preserve">s who require </w:t>
      </w:r>
      <w:proofErr w:type="gramStart"/>
      <w:r w:rsidRPr="00C020B8">
        <w:t>particular assessment</w:t>
      </w:r>
      <w:proofErr w:type="gramEnd"/>
      <w:r w:rsidRPr="00C020B8">
        <w:t xml:space="preserve"> arrangements.</w:t>
      </w:r>
    </w:p>
    <w:p w14:paraId="26FB32C7" w14:textId="77777777" w:rsidR="0004544D" w:rsidRPr="00C020B8" w:rsidRDefault="0004544D" w:rsidP="0004544D">
      <w:pPr>
        <w:pStyle w:val="ListParagraph"/>
        <w:numPr>
          <w:ilvl w:val="0"/>
          <w:numId w:val="25"/>
        </w:numPr>
        <w:adjustRightInd w:val="0"/>
        <w:spacing w:after="100"/>
        <w:contextualSpacing/>
      </w:pPr>
      <w:r w:rsidRPr="00C020B8">
        <w:t>Be aware of the risk of malpractice and act according to organisations procedure (as applicable).</w:t>
      </w:r>
    </w:p>
    <w:p w14:paraId="0DD7B132" w14:textId="2B6786DA" w:rsidR="0004544D" w:rsidRPr="00C04195" w:rsidRDefault="0004544D" w:rsidP="0004544D">
      <w:pPr>
        <w:pStyle w:val="ListParagraph"/>
        <w:numPr>
          <w:ilvl w:val="0"/>
          <w:numId w:val="25"/>
        </w:numPr>
        <w:adjustRightInd w:val="0"/>
        <w:spacing w:after="100"/>
        <w:contextualSpacing/>
      </w:pPr>
      <w:r w:rsidRPr="00C020B8">
        <w:t>Participate &amp; liaise with other Assessors and internal verifiers (including standardisation activities) to ensure a consistent approach to assessment.</w:t>
      </w:r>
      <w:r w:rsidRPr="00C04195">
        <w:t xml:space="preserve"> </w:t>
      </w:r>
    </w:p>
    <w:p w14:paraId="26B587C8" w14:textId="2FCC31A7" w:rsidR="0004544D" w:rsidRPr="00C020B8" w:rsidRDefault="0004544D" w:rsidP="0004544D">
      <w:pPr>
        <w:pStyle w:val="ListParagraph"/>
        <w:numPr>
          <w:ilvl w:val="0"/>
          <w:numId w:val="25"/>
        </w:numPr>
        <w:adjustRightInd w:val="0"/>
        <w:spacing w:after="100"/>
        <w:contextualSpacing/>
      </w:pPr>
      <w:bookmarkStart w:id="54" w:name="_Hlk132101727"/>
      <w:r w:rsidRPr="00C020B8">
        <w:t xml:space="preserve">Inform the organisation immediately if there is a Personal Interest (Conflict of interest) with the </w:t>
      </w:r>
      <w:r w:rsidR="00CE36B9" w:rsidRPr="00C020B8">
        <w:t>Candidate</w:t>
      </w:r>
      <w:r w:rsidRPr="00C020B8">
        <w:t xml:space="preserve"> under assessment utilising the Declaration of Interest Form.</w:t>
      </w:r>
    </w:p>
    <w:bookmarkEnd w:id="54"/>
    <w:p w14:paraId="1D26DB7A" w14:textId="77777777" w:rsidR="0004544D" w:rsidRPr="00C020B8" w:rsidRDefault="0004544D" w:rsidP="0004544D">
      <w:pPr>
        <w:pStyle w:val="ListParagraph"/>
        <w:adjustRightInd w:val="0"/>
        <w:spacing w:after="100"/>
        <w:ind w:left="360"/>
      </w:pPr>
    </w:p>
    <w:p w14:paraId="76BE864C" w14:textId="77777777" w:rsidR="0004544D" w:rsidRPr="00C020B8" w:rsidRDefault="0004544D" w:rsidP="0004544D">
      <w:pPr>
        <w:pStyle w:val="ListParagraph"/>
        <w:adjustRightInd w:val="0"/>
        <w:ind w:left="360"/>
        <w:jc w:val="both"/>
      </w:pPr>
      <w:r w:rsidRPr="00C020B8">
        <w:t xml:space="preserve">The Assessor may also be required to carry out the following additional activities, in accordance with their organisation’s and, where relevant, the Awarding Body/Audit Organisation’s quality systems. </w:t>
      </w:r>
    </w:p>
    <w:p w14:paraId="06330D8B" w14:textId="77777777" w:rsidR="0004544D" w:rsidRPr="00C020B8" w:rsidRDefault="0004544D" w:rsidP="0004544D">
      <w:pPr>
        <w:pStyle w:val="ListParagraph"/>
        <w:adjustRightInd w:val="0"/>
        <w:ind w:left="360"/>
        <w:jc w:val="both"/>
      </w:pPr>
    </w:p>
    <w:p w14:paraId="6F9B51C1" w14:textId="77777777" w:rsidR="0004544D" w:rsidRPr="00C020B8" w:rsidRDefault="0004544D" w:rsidP="0004544D">
      <w:pPr>
        <w:pStyle w:val="ListParagraph"/>
        <w:numPr>
          <w:ilvl w:val="1"/>
          <w:numId w:val="25"/>
        </w:numPr>
        <w:adjustRightInd w:val="0"/>
        <w:spacing w:after="100"/>
        <w:contextualSpacing/>
      </w:pPr>
      <w:r w:rsidRPr="00C020B8">
        <w:t xml:space="preserve">Participate in any assessment appeal as indicated in the </w:t>
      </w:r>
      <w:proofErr w:type="gramStart"/>
      <w:r w:rsidRPr="00C020B8">
        <w:t>organisations</w:t>
      </w:r>
      <w:proofErr w:type="gramEnd"/>
      <w:r w:rsidRPr="00C020B8">
        <w:t xml:space="preserve"> procedure.</w:t>
      </w:r>
    </w:p>
    <w:p w14:paraId="349C4529" w14:textId="77777777" w:rsidR="0004544D" w:rsidRPr="00C020B8" w:rsidRDefault="0004544D" w:rsidP="0004544D">
      <w:pPr>
        <w:pStyle w:val="ListParagraph"/>
        <w:numPr>
          <w:ilvl w:val="1"/>
          <w:numId w:val="25"/>
        </w:numPr>
        <w:adjustRightInd w:val="0"/>
        <w:spacing w:after="100"/>
        <w:contextualSpacing/>
      </w:pPr>
      <w:r w:rsidRPr="00C020B8">
        <w:t xml:space="preserve">Participate in any complaint as indicated in the </w:t>
      </w:r>
      <w:proofErr w:type="gramStart"/>
      <w:r w:rsidRPr="00C020B8">
        <w:t>organisations</w:t>
      </w:r>
      <w:proofErr w:type="gramEnd"/>
      <w:r w:rsidRPr="00C020B8">
        <w:t xml:space="preserve"> procedure.</w:t>
      </w:r>
    </w:p>
    <w:p w14:paraId="6A160D09" w14:textId="77777777" w:rsidR="0004544D" w:rsidRPr="00C020B8" w:rsidRDefault="0004544D" w:rsidP="0004544D">
      <w:pPr>
        <w:pStyle w:val="ListParagraph"/>
        <w:numPr>
          <w:ilvl w:val="1"/>
          <w:numId w:val="25"/>
        </w:numPr>
        <w:adjustRightInd w:val="0"/>
        <w:spacing w:after="100"/>
        <w:contextualSpacing/>
      </w:pPr>
      <w:r w:rsidRPr="00C020B8">
        <w:t>Attend and participate in any visits by Awarding Bodies/Organisations, as required.</w:t>
      </w:r>
    </w:p>
    <w:p w14:paraId="6AFEF59F" w14:textId="77777777" w:rsidR="0004544D" w:rsidRPr="00C020B8" w:rsidRDefault="0004544D" w:rsidP="0004544D">
      <w:pPr>
        <w:pStyle w:val="ListParagraph"/>
        <w:numPr>
          <w:ilvl w:val="1"/>
          <w:numId w:val="25"/>
        </w:numPr>
        <w:adjustRightInd w:val="0"/>
        <w:spacing w:after="100"/>
        <w:contextualSpacing/>
      </w:pPr>
      <w:r w:rsidRPr="00C020B8">
        <w:t xml:space="preserve">Contribute to the organisations review of policies, procedures, learning and assessment material and resources. </w:t>
      </w:r>
    </w:p>
    <w:p w14:paraId="5221CF6B" w14:textId="77777777" w:rsidR="0004544D" w:rsidRPr="00C020B8" w:rsidRDefault="0004544D" w:rsidP="0004544D">
      <w:pPr>
        <w:pStyle w:val="ListParagraph"/>
        <w:adjustRightInd w:val="0"/>
        <w:ind w:left="360"/>
        <w:jc w:val="both"/>
      </w:pPr>
    </w:p>
    <w:p w14:paraId="761F230B" w14:textId="77777777" w:rsidR="0004544D" w:rsidRPr="00C020B8" w:rsidRDefault="0004544D" w:rsidP="0004544D">
      <w:pPr>
        <w:pStyle w:val="Heading3"/>
        <w:rPr>
          <w:sz w:val="22"/>
          <w:szCs w:val="22"/>
        </w:rPr>
      </w:pPr>
      <w:r w:rsidRPr="00C020B8">
        <w:rPr>
          <w:sz w:val="22"/>
          <w:szCs w:val="22"/>
        </w:rPr>
        <w:t>Minimum Requirements</w:t>
      </w:r>
    </w:p>
    <w:p w14:paraId="239061C5" w14:textId="77777777" w:rsidR="0004544D" w:rsidRPr="00C020B8" w:rsidRDefault="0004544D" w:rsidP="0004544D">
      <w:pPr>
        <w:adjustRightInd w:val="0"/>
        <w:jc w:val="both"/>
      </w:pPr>
      <w:r w:rsidRPr="00C020B8">
        <w:t>Assessors must be occupationally competent and qualified to carry out the assessment process – they must meet the following minimum requirements:</w:t>
      </w:r>
    </w:p>
    <w:p w14:paraId="7503974F" w14:textId="77777777" w:rsidR="0004544D" w:rsidRPr="00C020B8" w:rsidRDefault="0004544D" w:rsidP="0004544D">
      <w:pPr>
        <w:adjustRightInd w:val="0"/>
        <w:jc w:val="both"/>
      </w:pPr>
    </w:p>
    <w:p w14:paraId="25D09C40" w14:textId="67567E56" w:rsidR="0004544D" w:rsidRPr="00C020B8" w:rsidRDefault="0004544D" w:rsidP="0004544D">
      <w:pPr>
        <w:widowControl/>
        <w:numPr>
          <w:ilvl w:val="0"/>
          <w:numId w:val="26"/>
        </w:numPr>
        <w:autoSpaceDE/>
        <w:autoSpaceDN/>
        <w:ind w:left="357" w:hanging="357"/>
        <w:jc w:val="both"/>
      </w:pPr>
      <w:r w:rsidRPr="00C020B8">
        <w:t xml:space="preserve">Be technically competent in the discipline area of the </w:t>
      </w:r>
      <w:bookmarkStart w:id="55" w:name="_Hlk132635771"/>
      <w:r w:rsidR="00844AC9" w:rsidRPr="00C020B8">
        <w:t>Standard(s)</w:t>
      </w:r>
      <w:r w:rsidRPr="00C020B8">
        <w:t xml:space="preserve"> </w:t>
      </w:r>
      <w:bookmarkEnd w:id="55"/>
      <w:r w:rsidRPr="00C020B8">
        <w:t xml:space="preserve">they are assessing against.  – this could be demonstrated in </w:t>
      </w:r>
      <w:proofErr w:type="gramStart"/>
      <w:r w:rsidRPr="00C020B8">
        <w:t>a number of</w:t>
      </w:r>
      <w:proofErr w:type="gramEnd"/>
      <w:r w:rsidRPr="00C020B8">
        <w:t xml:space="preserve"> ways:</w:t>
      </w:r>
    </w:p>
    <w:p w14:paraId="4F07021D" w14:textId="77777777" w:rsidR="0004544D" w:rsidRPr="00C020B8" w:rsidRDefault="0004544D" w:rsidP="0004544D">
      <w:pPr>
        <w:widowControl/>
        <w:numPr>
          <w:ilvl w:val="0"/>
          <w:numId w:val="31"/>
        </w:numPr>
        <w:autoSpaceDE/>
        <w:autoSpaceDN/>
        <w:ind w:left="851" w:hanging="425"/>
        <w:jc w:val="both"/>
      </w:pPr>
      <w:r w:rsidRPr="00C020B8">
        <w:t>they are an experienced practitioner or supervisor in the same discipline.</w:t>
      </w:r>
    </w:p>
    <w:p w14:paraId="5AE8FB95" w14:textId="1C37EBA3" w:rsidR="0004544D" w:rsidRPr="00C020B8" w:rsidRDefault="0004544D" w:rsidP="0004544D">
      <w:pPr>
        <w:widowControl/>
        <w:numPr>
          <w:ilvl w:val="0"/>
          <w:numId w:val="31"/>
        </w:numPr>
        <w:autoSpaceDE/>
        <w:autoSpaceDN/>
        <w:ind w:left="851" w:hanging="425"/>
        <w:jc w:val="both"/>
      </w:pPr>
      <w:r w:rsidRPr="00C020B8">
        <w:lastRenderedPageBreak/>
        <w:t xml:space="preserve">they have been assessed as competent for the relevant </w:t>
      </w:r>
      <w:bookmarkStart w:id="56" w:name="_Hlk132103353"/>
      <w:r w:rsidRPr="00C020B8">
        <w:t>Standard(s</w:t>
      </w:r>
      <w:bookmarkEnd w:id="56"/>
      <w:r w:rsidR="006F462D">
        <w:t xml:space="preserve">) </w:t>
      </w:r>
      <w:r w:rsidRPr="00C020B8">
        <w:t>and/or have achieved an equivalent qualification.</w:t>
      </w:r>
    </w:p>
    <w:p w14:paraId="3708764B" w14:textId="427F3BCE" w:rsidR="0004544D" w:rsidRPr="00C020B8" w:rsidRDefault="0004544D" w:rsidP="0004544D">
      <w:pPr>
        <w:widowControl/>
        <w:numPr>
          <w:ilvl w:val="0"/>
          <w:numId w:val="31"/>
        </w:numPr>
        <w:autoSpaceDE/>
        <w:autoSpaceDN/>
        <w:ind w:left="851" w:hanging="425"/>
        <w:jc w:val="both"/>
      </w:pPr>
      <w:r w:rsidRPr="00C020B8">
        <w:t>they have previously performed or supervised the activities defined in the Standard(s) and/or and can demonstrate that they have maintained their technical expertise and knowledge of current processes and practices.</w:t>
      </w:r>
    </w:p>
    <w:p w14:paraId="5AAEFC0D" w14:textId="06D2257E" w:rsidR="0004544D" w:rsidRPr="00C020B8" w:rsidRDefault="0004544D" w:rsidP="0004544D">
      <w:pPr>
        <w:pStyle w:val="ListParagraph"/>
        <w:widowControl/>
        <w:numPr>
          <w:ilvl w:val="0"/>
          <w:numId w:val="26"/>
        </w:numPr>
        <w:adjustRightInd w:val="0"/>
        <w:contextualSpacing/>
        <w:jc w:val="both"/>
      </w:pPr>
      <w:bookmarkStart w:id="57" w:name="_Hlk169015911"/>
      <w:r w:rsidRPr="00C020B8">
        <w:t xml:space="preserve">Hold </w:t>
      </w:r>
      <w:r w:rsidR="00DA7BF9" w:rsidRPr="00C020B8">
        <w:t xml:space="preserve">(or be working towards it) </w:t>
      </w:r>
      <w:r w:rsidRPr="00C020B8">
        <w:t>a recognised Assessor qualification (e.g.L&amp;D9DI, L&amp;D9D, A1, A2, D32, D33) and be operating to the requirements of the current Standard(s) for trained Assessors.</w:t>
      </w:r>
    </w:p>
    <w:bookmarkEnd w:id="57"/>
    <w:p w14:paraId="060872A4" w14:textId="77777777" w:rsidR="0004544D" w:rsidRPr="00C020B8" w:rsidRDefault="0004544D" w:rsidP="0004544D">
      <w:pPr>
        <w:pStyle w:val="ListParagraph"/>
        <w:adjustRightInd w:val="0"/>
        <w:ind w:left="357"/>
        <w:jc w:val="both"/>
      </w:pPr>
    </w:p>
    <w:p w14:paraId="0D22B0FB" w14:textId="77777777" w:rsidR="0004544D" w:rsidRPr="00C020B8" w:rsidRDefault="0004544D" w:rsidP="0004544D">
      <w:pPr>
        <w:adjustRightInd w:val="0"/>
        <w:jc w:val="both"/>
        <w:rPr>
          <w:b/>
          <w:bCs/>
        </w:rPr>
      </w:pPr>
      <w:r w:rsidRPr="00C020B8">
        <w:rPr>
          <w:b/>
          <w:bCs/>
        </w:rPr>
        <w:t>Details of Assessor competence, certification and experience must be recorded for review by Awarding Bodies/Audit Organisations, as relevant.</w:t>
      </w:r>
    </w:p>
    <w:p w14:paraId="06EC57E4" w14:textId="77777777" w:rsidR="0004544D" w:rsidRPr="00C020B8" w:rsidRDefault="0004544D" w:rsidP="0004544D">
      <w:pPr>
        <w:adjustRightInd w:val="0"/>
        <w:jc w:val="both"/>
      </w:pPr>
    </w:p>
    <w:p w14:paraId="33F47CFA" w14:textId="77777777" w:rsidR="0004544D" w:rsidRPr="00C020B8" w:rsidRDefault="0004544D" w:rsidP="0004544D">
      <w:pPr>
        <w:pStyle w:val="Heading3"/>
        <w:rPr>
          <w:sz w:val="22"/>
          <w:szCs w:val="22"/>
        </w:rPr>
      </w:pPr>
      <w:r w:rsidRPr="00C020B8">
        <w:rPr>
          <w:sz w:val="22"/>
          <w:szCs w:val="22"/>
        </w:rPr>
        <w:t>Skills Currency</w:t>
      </w:r>
    </w:p>
    <w:p w14:paraId="456B50AC" w14:textId="77777777" w:rsidR="0004544D" w:rsidRPr="00C020B8" w:rsidRDefault="0004544D" w:rsidP="0004544D">
      <w:pPr>
        <w:adjustRightInd w:val="0"/>
        <w:jc w:val="both"/>
      </w:pPr>
      <w:r w:rsidRPr="00C020B8">
        <w:t>Assessors must maintain the currency of their skills:</w:t>
      </w:r>
    </w:p>
    <w:p w14:paraId="4102A5C2" w14:textId="77777777" w:rsidR="0004544D" w:rsidRPr="00C020B8" w:rsidRDefault="0004544D" w:rsidP="0004544D">
      <w:pPr>
        <w:adjustRightInd w:val="0"/>
        <w:jc w:val="both"/>
      </w:pPr>
    </w:p>
    <w:p w14:paraId="1D9DE410" w14:textId="4249CC71" w:rsidR="0004544D" w:rsidRPr="00C020B8" w:rsidRDefault="0004544D" w:rsidP="0004544D">
      <w:pPr>
        <w:pStyle w:val="ListParagraph"/>
        <w:widowControl/>
        <w:numPr>
          <w:ilvl w:val="0"/>
          <w:numId w:val="26"/>
        </w:numPr>
        <w:adjustRightInd w:val="0"/>
        <w:contextualSpacing/>
        <w:jc w:val="both"/>
      </w:pPr>
      <w:r w:rsidRPr="00C020B8">
        <w:t xml:space="preserve">Assessors must participate in regular updates / training / Continuous Professional Development (CPD) activities relating to their technical discipline, Standard(s) </w:t>
      </w:r>
      <w:r w:rsidR="006F462D">
        <w:t xml:space="preserve">being </w:t>
      </w:r>
      <w:r w:rsidRPr="00C020B8">
        <w:t>assessed and assessment practices – typically, on an annual basis.</w:t>
      </w:r>
    </w:p>
    <w:p w14:paraId="4D42F275" w14:textId="2434E7E4" w:rsidR="0004544D" w:rsidRPr="00C020B8" w:rsidRDefault="0004544D" w:rsidP="0004544D">
      <w:pPr>
        <w:pStyle w:val="ListParagraph"/>
        <w:widowControl/>
        <w:numPr>
          <w:ilvl w:val="0"/>
          <w:numId w:val="33"/>
        </w:numPr>
        <w:adjustRightInd w:val="0"/>
        <w:contextualSpacing/>
        <w:jc w:val="both"/>
      </w:pPr>
      <w:r w:rsidRPr="00C020B8">
        <w:t xml:space="preserve">Assessors who have not carried out any assessments for a period of 2 years or more for the </w:t>
      </w:r>
      <w:r w:rsidR="00844AC9" w:rsidRPr="00C020B8">
        <w:t>Standard(s)</w:t>
      </w:r>
      <w:r w:rsidRPr="00C020B8">
        <w:t xml:space="preserve"> against which they will be assessing, must undertake refresher training, which could be undertaken internally before carrying out any assessment activities.  This refresher training must ensure that they are fully conversant with the criteria defined in the Standard(s) that they will be assessing against and, if relevant, the current version of the Assessor qualification.</w:t>
      </w:r>
    </w:p>
    <w:p w14:paraId="1C5C58A2" w14:textId="77777777" w:rsidR="0004544D" w:rsidRPr="00C020B8" w:rsidRDefault="0004544D" w:rsidP="0004544D"/>
    <w:p w14:paraId="1DC1086F" w14:textId="77777777" w:rsidR="0004544D" w:rsidRPr="00C020B8" w:rsidRDefault="0004544D" w:rsidP="0004544D">
      <w:pPr>
        <w:pStyle w:val="Heading3"/>
        <w:rPr>
          <w:sz w:val="22"/>
          <w:szCs w:val="22"/>
        </w:rPr>
      </w:pPr>
      <w:r w:rsidRPr="00C020B8">
        <w:rPr>
          <w:sz w:val="22"/>
          <w:szCs w:val="22"/>
        </w:rPr>
        <w:t>Additional Assessor Requirements</w:t>
      </w:r>
    </w:p>
    <w:p w14:paraId="116D4C0A" w14:textId="77777777" w:rsidR="0004544D" w:rsidRPr="00C020B8" w:rsidRDefault="0004544D" w:rsidP="0004544D">
      <w:pPr>
        <w:adjustRightInd w:val="0"/>
        <w:jc w:val="both"/>
      </w:pPr>
      <w:r w:rsidRPr="00C020B8">
        <w:t>Additional notes on the requirements for Assessors:</w:t>
      </w:r>
    </w:p>
    <w:p w14:paraId="290ADA93" w14:textId="77777777" w:rsidR="0004544D" w:rsidRPr="00C020B8" w:rsidRDefault="0004544D" w:rsidP="0004544D">
      <w:pPr>
        <w:adjustRightInd w:val="0"/>
        <w:jc w:val="both"/>
      </w:pPr>
    </w:p>
    <w:p w14:paraId="2070030F" w14:textId="26CEF482" w:rsidR="0004544D" w:rsidRPr="00C020B8" w:rsidRDefault="0004544D" w:rsidP="0004544D">
      <w:pPr>
        <w:pStyle w:val="ListParagraph"/>
        <w:widowControl/>
        <w:numPr>
          <w:ilvl w:val="0"/>
          <w:numId w:val="33"/>
        </w:numPr>
        <w:adjustRightInd w:val="0"/>
        <w:contextualSpacing/>
        <w:jc w:val="both"/>
      </w:pPr>
      <w:r w:rsidRPr="00C020B8">
        <w:t xml:space="preserve">Assessors will be required to demonstrate technical competence for the individual disciplines depending on the </w:t>
      </w:r>
      <w:r w:rsidR="00844AC9" w:rsidRPr="00C020B8">
        <w:t>standard(s)</w:t>
      </w:r>
      <w:r w:rsidRPr="00C020B8">
        <w:t xml:space="preserve"> being assessed.</w:t>
      </w:r>
      <w:r w:rsidRPr="00C020B8" w:rsidDel="00100819">
        <w:t xml:space="preserve"> </w:t>
      </w:r>
    </w:p>
    <w:p w14:paraId="04321F22" w14:textId="65014696" w:rsidR="0004544D" w:rsidRPr="00C020B8" w:rsidRDefault="0004544D" w:rsidP="0004544D">
      <w:pPr>
        <w:pStyle w:val="ListParagraph"/>
        <w:widowControl/>
        <w:numPr>
          <w:ilvl w:val="0"/>
          <w:numId w:val="33"/>
        </w:numPr>
        <w:adjustRightInd w:val="0"/>
        <w:contextualSpacing/>
        <w:jc w:val="both"/>
      </w:pPr>
      <w:r w:rsidRPr="00C020B8">
        <w:t xml:space="preserve">Should an Assessor also act as an Internal Verifier, the Assessor cannot take any part in the verification of the </w:t>
      </w:r>
      <w:r w:rsidR="00CE36B9" w:rsidRPr="00C020B8">
        <w:t>Candidate</w:t>
      </w:r>
      <w:r w:rsidRPr="00C020B8">
        <w:t>s that they have assessed – this must be done by a different Internal Verifier.</w:t>
      </w:r>
    </w:p>
    <w:p w14:paraId="11E1162C" w14:textId="0D75FC3C" w:rsidR="0004544D" w:rsidRPr="00C020B8" w:rsidRDefault="0004544D" w:rsidP="0004544D">
      <w:pPr>
        <w:pStyle w:val="ListParagraph"/>
        <w:widowControl/>
        <w:numPr>
          <w:ilvl w:val="0"/>
          <w:numId w:val="33"/>
        </w:numPr>
        <w:adjustRightInd w:val="0"/>
        <w:contextualSpacing/>
        <w:jc w:val="both"/>
      </w:pPr>
      <w:r w:rsidRPr="00C020B8">
        <w:t>Assessors who are in training can undertake assessments but all assessments against Standard(s) must be reviewed by a qualified Assessor and/or an Internal Verifier.  Assessors in training would be expected to complete their own Assessor qualification within a year of their involvement in the assessment process.</w:t>
      </w:r>
    </w:p>
    <w:p w14:paraId="031C6004" w14:textId="77777777" w:rsidR="0004544D" w:rsidRPr="00C020B8" w:rsidRDefault="0004544D" w:rsidP="0004544D">
      <w:pPr>
        <w:adjustRightInd w:val="0"/>
        <w:jc w:val="both"/>
      </w:pPr>
    </w:p>
    <w:p w14:paraId="729C3E9C" w14:textId="77777777" w:rsidR="0004544D" w:rsidRPr="00C020B8" w:rsidRDefault="0004544D" w:rsidP="0004544D">
      <w:pPr>
        <w:adjustRightInd w:val="0"/>
        <w:jc w:val="both"/>
        <w:rPr>
          <w:color w:val="FF0000"/>
        </w:rPr>
      </w:pPr>
    </w:p>
    <w:p w14:paraId="6F1AD99D" w14:textId="77777777" w:rsidR="0004544D" w:rsidRPr="00C020B8" w:rsidRDefault="0004544D" w:rsidP="0004544D">
      <w:pPr>
        <w:pStyle w:val="Heading2"/>
        <w:rPr>
          <w:sz w:val="22"/>
          <w:szCs w:val="22"/>
        </w:rPr>
      </w:pPr>
      <w:bookmarkStart w:id="58" w:name="_Toc130825215"/>
      <w:r w:rsidRPr="00C020B8">
        <w:rPr>
          <w:sz w:val="22"/>
          <w:szCs w:val="22"/>
        </w:rPr>
        <w:t>Internal Verifiers</w:t>
      </w:r>
      <w:bookmarkEnd w:id="58"/>
    </w:p>
    <w:p w14:paraId="741B3F03" w14:textId="1E070948" w:rsidR="0004544D" w:rsidRPr="00C020B8" w:rsidRDefault="0004544D" w:rsidP="0004544D">
      <w:r w:rsidRPr="00C020B8">
        <w:t xml:space="preserve">An Internal Verifier assures the quality and consistency of assessments carried out against the relevant </w:t>
      </w:r>
      <w:r w:rsidR="00844AC9" w:rsidRPr="00C020B8">
        <w:t>Standard(s).</w:t>
      </w:r>
      <w:r w:rsidRPr="00C020B8">
        <w:t xml:space="preserve">  Internal Verifiers may also be referred to as Internal Quality Assurers or Quality Monitors.</w:t>
      </w:r>
    </w:p>
    <w:p w14:paraId="544D5458" w14:textId="77777777" w:rsidR="0004544D" w:rsidRPr="00C020B8" w:rsidRDefault="0004544D" w:rsidP="0004544D"/>
    <w:p w14:paraId="35A9905B" w14:textId="77777777" w:rsidR="0004544D" w:rsidRPr="00C020B8" w:rsidRDefault="0004544D" w:rsidP="0004544D">
      <w:pPr>
        <w:pStyle w:val="Heading3"/>
        <w:rPr>
          <w:sz w:val="22"/>
          <w:szCs w:val="22"/>
        </w:rPr>
      </w:pPr>
      <w:r w:rsidRPr="00C020B8">
        <w:rPr>
          <w:sz w:val="22"/>
          <w:szCs w:val="22"/>
        </w:rPr>
        <w:t>Responsibilities</w:t>
      </w:r>
    </w:p>
    <w:p w14:paraId="4513CB79" w14:textId="77777777" w:rsidR="0004544D" w:rsidRPr="00C020B8" w:rsidRDefault="0004544D" w:rsidP="0004544D">
      <w:pPr>
        <w:adjustRightInd w:val="0"/>
        <w:jc w:val="both"/>
      </w:pPr>
      <w:r w:rsidRPr="00C020B8">
        <w:t>Internal Verifiers’ main responsibilities are to:</w:t>
      </w:r>
    </w:p>
    <w:p w14:paraId="2371C7B0" w14:textId="77777777" w:rsidR="0004544D" w:rsidRPr="00C020B8" w:rsidRDefault="0004544D" w:rsidP="0004544D">
      <w:pPr>
        <w:adjustRightInd w:val="0"/>
        <w:jc w:val="both"/>
      </w:pPr>
    </w:p>
    <w:p w14:paraId="5F065F89" w14:textId="5D09DFC9" w:rsidR="0004544D" w:rsidRPr="00C020B8" w:rsidRDefault="0004544D" w:rsidP="0004544D">
      <w:pPr>
        <w:pStyle w:val="ListParagraph"/>
        <w:widowControl/>
        <w:numPr>
          <w:ilvl w:val="0"/>
          <w:numId w:val="27"/>
        </w:numPr>
        <w:adjustRightInd w:val="0"/>
        <w:contextualSpacing/>
        <w:jc w:val="both"/>
      </w:pPr>
      <w:r w:rsidRPr="00C020B8">
        <w:t>Fully understand the content of, and the assessment requirements for, the Standard(s) for which they have responsibility for verifying.</w:t>
      </w:r>
    </w:p>
    <w:p w14:paraId="128BF83E" w14:textId="77777777" w:rsidR="0004544D" w:rsidRPr="00C020B8" w:rsidRDefault="0004544D" w:rsidP="0004544D">
      <w:pPr>
        <w:pStyle w:val="ListParagraph"/>
        <w:widowControl/>
        <w:numPr>
          <w:ilvl w:val="0"/>
          <w:numId w:val="27"/>
        </w:numPr>
        <w:adjustRightInd w:val="0"/>
        <w:contextualSpacing/>
        <w:jc w:val="both"/>
      </w:pPr>
      <w:r w:rsidRPr="00C020B8">
        <w:t>Ensure the quality and consistency of assessment decisions made by the Assessors.</w:t>
      </w:r>
    </w:p>
    <w:p w14:paraId="1EBF2476" w14:textId="77777777" w:rsidR="0004544D" w:rsidRPr="00C020B8" w:rsidRDefault="0004544D" w:rsidP="0004544D">
      <w:pPr>
        <w:pStyle w:val="ListParagraph"/>
        <w:widowControl/>
        <w:numPr>
          <w:ilvl w:val="0"/>
          <w:numId w:val="27"/>
        </w:numPr>
        <w:adjustRightInd w:val="0"/>
        <w:contextualSpacing/>
        <w:jc w:val="both"/>
      </w:pPr>
      <w:r w:rsidRPr="00C020B8">
        <w:t>Ensure that the assessment processes comply with required quality assurance systems.</w:t>
      </w:r>
    </w:p>
    <w:p w14:paraId="25E696B7" w14:textId="2E45E65B" w:rsidR="0004544D" w:rsidRPr="00C020B8" w:rsidRDefault="0004544D" w:rsidP="0004544D">
      <w:pPr>
        <w:pStyle w:val="ListParagraph"/>
        <w:widowControl/>
        <w:numPr>
          <w:ilvl w:val="0"/>
          <w:numId w:val="27"/>
        </w:numPr>
        <w:adjustRightInd w:val="0"/>
        <w:contextualSpacing/>
        <w:jc w:val="both"/>
      </w:pPr>
      <w:r w:rsidRPr="00C020B8">
        <w:t xml:space="preserve">Provide feedback to Assessors on the judgements they have made about </w:t>
      </w:r>
      <w:r w:rsidR="00CE36B9" w:rsidRPr="00C020B8">
        <w:t>Candidate</w:t>
      </w:r>
      <w:r w:rsidRPr="00C020B8">
        <w:t>s’ competence.</w:t>
      </w:r>
    </w:p>
    <w:p w14:paraId="1A30A7C6" w14:textId="6717A293" w:rsidR="0004544D" w:rsidRPr="00C020B8" w:rsidRDefault="0004544D" w:rsidP="0004544D">
      <w:pPr>
        <w:pStyle w:val="ListParagraph"/>
        <w:widowControl/>
        <w:numPr>
          <w:ilvl w:val="0"/>
          <w:numId w:val="27"/>
        </w:numPr>
        <w:adjustRightInd w:val="0"/>
        <w:contextualSpacing/>
        <w:jc w:val="both"/>
      </w:pPr>
      <w:r w:rsidRPr="00C020B8">
        <w:lastRenderedPageBreak/>
        <w:t xml:space="preserve">Internally verify assessments across all sites, Assessors and </w:t>
      </w:r>
      <w:r w:rsidR="00CE36B9" w:rsidRPr="00C020B8">
        <w:t>Candidate</w:t>
      </w:r>
      <w:r w:rsidRPr="00C020B8">
        <w:t xml:space="preserve">s – including interim </w:t>
      </w:r>
      <w:proofErr w:type="gramStart"/>
      <w:r w:rsidRPr="00C020B8">
        <w:t>verification;</w:t>
      </w:r>
      <w:proofErr w:type="gramEnd"/>
    </w:p>
    <w:p w14:paraId="57A120BC" w14:textId="77777777" w:rsidR="0004544D" w:rsidRPr="00C020B8" w:rsidRDefault="0004544D" w:rsidP="0004544D">
      <w:pPr>
        <w:widowControl/>
        <w:numPr>
          <w:ilvl w:val="0"/>
          <w:numId w:val="27"/>
        </w:numPr>
        <w:adjustRightInd w:val="0"/>
        <w:ind w:left="357" w:hanging="357"/>
        <w:jc w:val="both"/>
      </w:pPr>
      <w:r w:rsidRPr="00C020B8">
        <w:t>Provide feedback, advice and support to Assessors.</w:t>
      </w:r>
    </w:p>
    <w:p w14:paraId="5B71A2EA" w14:textId="6C130AC3" w:rsidR="0004544D" w:rsidRPr="00C020B8" w:rsidRDefault="0004544D" w:rsidP="0004544D">
      <w:pPr>
        <w:pStyle w:val="ListParagraph"/>
        <w:widowControl/>
        <w:numPr>
          <w:ilvl w:val="0"/>
          <w:numId w:val="27"/>
        </w:numPr>
        <w:adjustRightInd w:val="0"/>
        <w:ind w:right="-188"/>
        <w:contextualSpacing/>
        <w:jc w:val="both"/>
      </w:pPr>
      <w:r w:rsidRPr="00C020B8">
        <w:t xml:space="preserve">Comply with the internal verification processes and quality procedures for </w:t>
      </w:r>
      <w:r w:rsidR="00844AC9" w:rsidRPr="00C020B8">
        <w:t>Standard(s).</w:t>
      </w:r>
    </w:p>
    <w:p w14:paraId="3183C3F3" w14:textId="06BB78B7" w:rsidR="0004544D" w:rsidRPr="00C020B8" w:rsidRDefault="0004544D" w:rsidP="0004544D">
      <w:pPr>
        <w:pStyle w:val="ListParagraph"/>
        <w:widowControl/>
        <w:numPr>
          <w:ilvl w:val="0"/>
          <w:numId w:val="27"/>
        </w:numPr>
        <w:adjustRightInd w:val="0"/>
        <w:contextualSpacing/>
        <w:jc w:val="both"/>
      </w:pPr>
      <w:r w:rsidRPr="00C020B8">
        <w:t>Maintain records of internal verification activities for the Standard(s)</w:t>
      </w:r>
      <w:r w:rsidR="00071C2B" w:rsidRPr="00C020B8">
        <w:t>.</w:t>
      </w:r>
    </w:p>
    <w:p w14:paraId="2B108A4D" w14:textId="77777777" w:rsidR="00FF2CCB" w:rsidRPr="00C020B8" w:rsidRDefault="0004544D" w:rsidP="007F4AAE">
      <w:pPr>
        <w:pStyle w:val="ListParagraph"/>
        <w:widowControl/>
        <w:numPr>
          <w:ilvl w:val="0"/>
          <w:numId w:val="27"/>
        </w:numPr>
        <w:adjustRightInd w:val="0"/>
        <w:contextualSpacing/>
        <w:jc w:val="both"/>
      </w:pPr>
      <w:r w:rsidRPr="00C020B8">
        <w:t>Conduct and/or participate in standardisation activities to ensure a consistent approach to assessment is maintained</w:t>
      </w:r>
    </w:p>
    <w:p w14:paraId="6E385990" w14:textId="14FC3882" w:rsidR="0004544D" w:rsidRPr="00C020B8" w:rsidRDefault="0004544D" w:rsidP="007F4AAE">
      <w:pPr>
        <w:pStyle w:val="ListParagraph"/>
        <w:widowControl/>
        <w:numPr>
          <w:ilvl w:val="0"/>
          <w:numId w:val="27"/>
        </w:numPr>
        <w:adjustRightInd w:val="0"/>
        <w:contextualSpacing/>
        <w:jc w:val="both"/>
      </w:pPr>
      <w:r w:rsidRPr="00C020B8">
        <w:t xml:space="preserve">Participate in, and support, their organisation’s internal quality systems and ensure that any corrective actions and recommendations required following internal audits are carried out in a timely manner. </w:t>
      </w:r>
    </w:p>
    <w:p w14:paraId="02D0D969" w14:textId="6BDC0B4E" w:rsidR="0004544D" w:rsidRPr="00C020B8" w:rsidRDefault="0004544D" w:rsidP="0004544D">
      <w:pPr>
        <w:pStyle w:val="ListParagraph"/>
        <w:widowControl/>
        <w:numPr>
          <w:ilvl w:val="0"/>
          <w:numId w:val="27"/>
        </w:numPr>
        <w:autoSpaceDE/>
        <w:autoSpaceDN/>
        <w:contextualSpacing/>
      </w:pPr>
      <w:r w:rsidRPr="00C020B8">
        <w:t>Inform the organisation immediately if there is a Personal Interest (Conflict of interest) with the Assessor/</w:t>
      </w:r>
      <w:r w:rsidR="00CE36B9" w:rsidRPr="00C020B8">
        <w:t>Candidate</w:t>
      </w:r>
      <w:r w:rsidRPr="00C020B8">
        <w:t xml:space="preserve"> under assessment utilising the Declaration of Interest Form.</w:t>
      </w:r>
    </w:p>
    <w:p w14:paraId="21313A6F" w14:textId="77777777" w:rsidR="0004544D" w:rsidRPr="00C020B8" w:rsidRDefault="0004544D" w:rsidP="0004544D">
      <w:pPr>
        <w:pStyle w:val="ListParagraph"/>
        <w:adjustRightInd w:val="0"/>
        <w:ind w:left="360"/>
        <w:jc w:val="both"/>
      </w:pPr>
    </w:p>
    <w:p w14:paraId="789B6B05" w14:textId="77777777" w:rsidR="0004544D" w:rsidRPr="00C020B8" w:rsidRDefault="0004544D" w:rsidP="0004544D">
      <w:pPr>
        <w:pStyle w:val="ListParagraph"/>
        <w:adjustRightInd w:val="0"/>
        <w:ind w:left="360"/>
        <w:jc w:val="both"/>
      </w:pPr>
    </w:p>
    <w:p w14:paraId="7D65A695" w14:textId="77777777" w:rsidR="0004544D" w:rsidRPr="00C020B8" w:rsidRDefault="0004544D" w:rsidP="0004544D">
      <w:pPr>
        <w:adjustRightInd w:val="0"/>
        <w:jc w:val="both"/>
      </w:pPr>
      <w:r w:rsidRPr="00C020B8">
        <w:t>The Internal Verifier may also carry out the following additional activities, in accordance with their organisation’s and, where relevant, the Awarding Body/Audit Organisation’s quality systems:</w:t>
      </w:r>
    </w:p>
    <w:p w14:paraId="3FB4A76D" w14:textId="77777777" w:rsidR="0004544D" w:rsidRPr="00C020B8" w:rsidRDefault="0004544D" w:rsidP="0004544D">
      <w:pPr>
        <w:adjustRightInd w:val="0"/>
        <w:jc w:val="both"/>
      </w:pPr>
    </w:p>
    <w:p w14:paraId="1087DFD6" w14:textId="75AA180D" w:rsidR="0004544D" w:rsidRPr="00C020B8" w:rsidRDefault="0004544D" w:rsidP="0004544D">
      <w:pPr>
        <w:pStyle w:val="ListParagraph"/>
        <w:widowControl/>
        <w:numPr>
          <w:ilvl w:val="1"/>
          <w:numId w:val="27"/>
        </w:numPr>
        <w:adjustRightInd w:val="0"/>
        <w:contextualSpacing/>
        <w:jc w:val="both"/>
      </w:pPr>
      <w:r w:rsidRPr="00C020B8">
        <w:t xml:space="preserve">Implement an appeals procedure to settle any disputes between </w:t>
      </w:r>
      <w:r w:rsidR="00CE36B9" w:rsidRPr="00C020B8">
        <w:t>Candidate</w:t>
      </w:r>
      <w:r w:rsidRPr="00C020B8">
        <w:t>s and Assessors.</w:t>
      </w:r>
    </w:p>
    <w:p w14:paraId="47A2C30C" w14:textId="77777777" w:rsidR="0004544D" w:rsidRPr="00C020B8" w:rsidRDefault="0004544D" w:rsidP="0004544D">
      <w:pPr>
        <w:pStyle w:val="ListParagraph"/>
        <w:widowControl/>
        <w:numPr>
          <w:ilvl w:val="1"/>
          <w:numId w:val="27"/>
        </w:numPr>
        <w:adjustRightInd w:val="0"/>
        <w:contextualSpacing/>
        <w:jc w:val="both"/>
      </w:pPr>
      <w:r w:rsidRPr="00C020B8">
        <w:t>Facilitate, or contribute to, the induction, training and development of Assessors.</w:t>
      </w:r>
    </w:p>
    <w:p w14:paraId="4A2186F0" w14:textId="77777777" w:rsidR="0004544D" w:rsidRPr="00C020B8" w:rsidRDefault="0004544D" w:rsidP="0004544D">
      <w:pPr>
        <w:pStyle w:val="ListParagraph"/>
        <w:widowControl/>
        <w:numPr>
          <w:ilvl w:val="1"/>
          <w:numId w:val="27"/>
        </w:numPr>
        <w:adjustRightInd w:val="0"/>
        <w:contextualSpacing/>
        <w:jc w:val="both"/>
      </w:pPr>
      <w:r w:rsidRPr="00C020B8">
        <w:t xml:space="preserve">Participate in, and support, external quality audits and ensure that any corrective actions and recommendations required following the audits are carried out in a timely manner.  </w:t>
      </w:r>
    </w:p>
    <w:p w14:paraId="03428E64" w14:textId="77777777" w:rsidR="0004544D" w:rsidRPr="00C020B8" w:rsidRDefault="0004544D" w:rsidP="0004544D">
      <w:pPr>
        <w:adjustRightInd w:val="0"/>
        <w:jc w:val="both"/>
      </w:pPr>
    </w:p>
    <w:p w14:paraId="2B5D46B4" w14:textId="77777777" w:rsidR="0004544D" w:rsidRPr="00C020B8" w:rsidRDefault="0004544D" w:rsidP="0004544D">
      <w:pPr>
        <w:pStyle w:val="Heading3"/>
        <w:rPr>
          <w:sz w:val="22"/>
          <w:szCs w:val="22"/>
        </w:rPr>
      </w:pPr>
      <w:r w:rsidRPr="00C020B8">
        <w:rPr>
          <w:sz w:val="22"/>
          <w:szCs w:val="22"/>
        </w:rPr>
        <w:t xml:space="preserve">Minimum Requirements </w:t>
      </w:r>
    </w:p>
    <w:p w14:paraId="346E3FF6" w14:textId="77777777" w:rsidR="0004544D" w:rsidRPr="00C020B8" w:rsidRDefault="0004544D" w:rsidP="0004544D">
      <w:pPr>
        <w:adjustRightInd w:val="0"/>
        <w:jc w:val="both"/>
      </w:pPr>
      <w:r w:rsidRPr="00C020B8">
        <w:t>Internal Verifiers must be competent and qualified to carry out the verification process – they must meet the following minimum requirements:</w:t>
      </w:r>
    </w:p>
    <w:p w14:paraId="04987F50" w14:textId="77777777" w:rsidR="0004544D" w:rsidRPr="00C020B8" w:rsidRDefault="0004544D" w:rsidP="0004544D">
      <w:pPr>
        <w:adjustRightInd w:val="0"/>
        <w:jc w:val="both"/>
      </w:pPr>
    </w:p>
    <w:p w14:paraId="6958C35A" w14:textId="2689BF48" w:rsidR="0004544D" w:rsidRPr="00C020B8" w:rsidRDefault="0004544D" w:rsidP="0004544D">
      <w:pPr>
        <w:pStyle w:val="ListParagraph"/>
        <w:widowControl/>
        <w:numPr>
          <w:ilvl w:val="0"/>
          <w:numId w:val="28"/>
        </w:numPr>
        <w:adjustRightInd w:val="0"/>
        <w:contextualSpacing/>
        <w:jc w:val="both"/>
      </w:pPr>
      <w:r w:rsidRPr="00C020B8">
        <w:t>Have sufficient occupational expertise in the broad discipline area covered by the relevant Standard(s) to permit valid judgements about assessments and appeal decisions – typically this would be demonstrated by the Internal Verifier having worked at either operational or supervisory level in the broad discipline area.</w:t>
      </w:r>
    </w:p>
    <w:p w14:paraId="0D4B42BE" w14:textId="39FA041C" w:rsidR="0004544D" w:rsidRPr="00C020B8" w:rsidRDefault="0004544D" w:rsidP="0004544D">
      <w:pPr>
        <w:pStyle w:val="ListParagraph"/>
        <w:widowControl/>
        <w:numPr>
          <w:ilvl w:val="0"/>
          <w:numId w:val="28"/>
        </w:numPr>
        <w:adjustRightInd w:val="0"/>
        <w:contextualSpacing/>
        <w:jc w:val="both"/>
      </w:pPr>
      <w:r w:rsidRPr="00C020B8">
        <w:t xml:space="preserve">Hold </w:t>
      </w:r>
      <w:r w:rsidR="00DA7BF9" w:rsidRPr="00C020B8">
        <w:t xml:space="preserve">(or be working towards it) </w:t>
      </w:r>
      <w:r w:rsidRPr="00C020B8">
        <w:t xml:space="preserve">a recognised Internal Verifier’s qualification (e.g. L&amp;D11, V1, D34) and be operating to the requirements </w:t>
      </w:r>
      <w:bookmarkStart w:id="59" w:name="_Hlk138157232"/>
      <w:r w:rsidRPr="00C020B8">
        <w:t xml:space="preserve">of the current </w:t>
      </w:r>
      <w:bookmarkEnd w:id="59"/>
      <w:r w:rsidRPr="00C020B8">
        <w:t>Standard(s</w:t>
      </w:r>
      <w:r w:rsidR="00071C2B" w:rsidRPr="00C020B8">
        <w:t xml:space="preserve">) </w:t>
      </w:r>
      <w:r w:rsidRPr="00C020B8">
        <w:t>for trained Internal Verifiers.</w:t>
      </w:r>
    </w:p>
    <w:p w14:paraId="1B4C2DD8" w14:textId="77777777" w:rsidR="0004544D" w:rsidRPr="00C020B8" w:rsidRDefault="0004544D" w:rsidP="0004544D">
      <w:pPr>
        <w:adjustRightInd w:val="0"/>
        <w:jc w:val="both"/>
      </w:pPr>
    </w:p>
    <w:p w14:paraId="5487817F" w14:textId="77777777" w:rsidR="0004544D" w:rsidRPr="00C020B8" w:rsidRDefault="0004544D" w:rsidP="0004544D">
      <w:pPr>
        <w:adjustRightInd w:val="0"/>
        <w:jc w:val="both"/>
        <w:rPr>
          <w:b/>
          <w:bCs/>
        </w:rPr>
      </w:pPr>
      <w:r w:rsidRPr="00C020B8">
        <w:rPr>
          <w:b/>
          <w:bCs/>
        </w:rPr>
        <w:t>Details of Internal Verifier competence and experience must be available for review by Awarding Bodies/Audit Organisations, as relevant.</w:t>
      </w:r>
    </w:p>
    <w:p w14:paraId="6D7FD0A8" w14:textId="77777777" w:rsidR="0004544D" w:rsidRPr="00C020B8" w:rsidRDefault="0004544D" w:rsidP="0004544D"/>
    <w:p w14:paraId="5B74AFF8" w14:textId="77777777" w:rsidR="0004544D" w:rsidRPr="00C020B8" w:rsidRDefault="0004544D" w:rsidP="0004544D">
      <w:pPr>
        <w:pStyle w:val="Heading3"/>
        <w:rPr>
          <w:sz w:val="22"/>
          <w:szCs w:val="22"/>
        </w:rPr>
      </w:pPr>
      <w:r w:rsidRPr="00C020B8">
        <w:rPr>
          <w:sz w:val="22"/>
          <w:szCs w:val="22"/>
        </w:rPr>
        <w:t>Skills Currency</w:t>
      </w:r>
    </w:p>
    <w:p w14:paraId="268FAF83" w14:textId="77777777" w:rsidR="0004544D" w:rsidRPr="00C020B8" w:rsidRDefault="0004544D" w:rsidP="0004544D">
      <w:pPr>
        <w:adjustRightInd w:val="0"/>
        <w:jc w:val="both"/>
      </w:pPr>
      <w:r w:rsidRPr="00C020B8">
        <w:t>Internal Verifiers must maintain the currency of their skills:</w:t>
      </w:r>
    </w:p>
    <w:p w14:paraId="714CF613" w14:textId="77777777" w:rsidR="0004544D" w:rsidRPr="00C020B8" w:rsidRDefault="0004544D" w:rsidP="0004544D">
      <w:pPr>
        <w:adjustRightInd w:val="0"/>
        <w:jc w:val="both"/>
      </w:pPr>
    </w:p>
    <w:p w14:paraId="30892DAA" w14:textId="77777777" w:rsidR="0004544D" w:rsidRPr="00C020B8" w:rsidRDefault="0004544D" w:rsidP="0004544D">
      <w:pPr>
        <w:pStyle w:val="ListParagraph"/>
        <w:widowControl/>
        <w:numPr>
          <w:ilvl w:val="0"/>
          <w:numId w:val="33"/>
        </w:numPr>
        <w:adjustRightInd w:val="0"/>
        <w:contextualSpacing/>
        <w:jc w:val="both"/>
      </w:pPr>
      <w:r w:rsidRPr="00C020B8">
        <w:t>Internal Verifiers must participate in regular updates / training / Continuous Professional Development (CPD) activities – typically on an annual basis.</w:t>
      </w:r>
    </w:p>
    <w:p w14:paraId="19A9A8DA" w14:textId="1131EB4A" w:rsidR="0004544D" w:rsidRPr="00C020B8" w:rsidRDefault="0004544D" w:rsidP="0004544D">
      <w:pPr>
        <w:pStyle w:val="ListParagraph"/>
        <w:widowControl/>
        <w:numPr>
          <w:ilvl w:val="0"/>
          <w:numId w:val="33"/>
        </w:numPr>
        <w:adjustRightInd w:val="0"/>
        <w:contextualSpacing/>
        <w:jc w:val="both"/>
      </w:pPr>
      <w:r w:rsidRPr="00C020B8">
        <w:t xml:space="preserve">Internal Verifiers who have not carried out any verification for a period of 2 years or more must undertake refresher training before carrying out any internal verification activities.  This refresher training must ensure that they are fully conversant with the </w:t>
      </w:r>
      <w:r w:rsidR="00844AC9" w:rsidRPr="00C020B8">
        <w:t>Standard(s)</w:t>
      </w:r>
      <w:r w:rsidRPr="00C020B8">
        <w:t xml:space="preserve"> they will be internally verifying and, if relevant, the current version of the Internal Verifier qualification. This could be undertaken by internal training.</w:t>
      </w:r>
    </w:p>
    <w:p w14:paraId="1CBF81B9" w14:textId="77777777" w:rsidR="0004544D" w:rsidRPr="00C020B8" w:rsidRDefault="0004544D" w:rsidP="0004544D"/>
    <w:p w14:paraId="79E05777" w14:textId="77777777" w:rsidR="0004544D" w:rsidRPr="00C020B8" w:rsidRDefault="0004544D" w:rsidP="0004544D">
      <w:pPr>
        <w:pStyle w:val="Heading3"/>
        <w:rPr>
          <w:sz w:val="22"/>
          <w:szCs w:val="22"/>
        </w:rPr>
      </w:pPr>
      <w:r w:rsidRPr="00C020B8">
        <w:rPr>
          <w:sz w:val="22"/>
          <w:szCs w:val="22"/>
        </w:rPr>
        <w:t>Additional Verifier Requirements</w:t>
      </w:r>
    </w:p>
    <w:p w14:paraId="2E887874" w14:textId="77777777" w:rsidR="0004544D" w:rsidRPr="00C020B8" w:rsidRDefault="0004544D" w:rsidP="0004544D">
      <w:pPr>
        <w:adjustRightInd w:val="0"/>
        <w:jc w:val="both"/>
      </w:pPr>
      <w:r w:rsidRPr="00C020B8">
        <w:t>Additional notes on the deployment of Internal Verifiers:</w:t>
      </w:r>
    </w:p>
    <w:p w14:paraId="4481B64F" w14:textId="77777777" w:rsidR="0004544D" w:rsidRPr="00C020B8" w:rsidRDefault="0004544D" w:rsidP="0004544D">
      <w:pPr>
        <w:pStyle w:val="ListParagraph"/>
        <w:widowControl/>
        <w:numPr>
          <w:ilvl w:val="0"/>
          <w:numId w:val="30"/>
        </w:numPr>
        <w:adjustRightInd w:val="0"/>
        <w:contextualSpacing/>
        <w:jc w:val="both"/>
      </w:pPr>
      <w:r w:rsidRPr="00C020B8">
        <w:lastRenderedPageBreak/>
        <w:t>Internal Verifiers would normally be expected to complete an Assessor qualification and have been carrying out assessments for a minimum of 6 months before going on to become an Internal Verifier.</w:t>
      </w:r>
    </w:p>
    <w:p w14:paraId="3F3BC912" w14:textId="02C13B06" w:rsidR="0004544D" w:rsidRPr="00C020B8" w:rsidRDefault="0004544D" w:rsidP="0004544D">
      <w:pPr>
        <w:pStyle w:val="ListParagraph"/>
        <w:widowControl/>
        <w:numPr>
          <w:ilvl w:val="0"/>
          <w:numId w:val="30"/>
        </w:numPr>
        <w:adjustRightInd w:val="0"/>
        <w:contextualSpacing/>
        <w:jc w:val="both"/>
      </w:pPr>
      <w:r w:rsidRPr="00C020B8">
        <w:t xml:space="preserve">Should an Internal Verifier also act as an Assessor, the Internal Verifier cannot take any part in the verification of the </w:t>
      </w:r>
      <w:r w:rsidR="00CE36B9" w:rsidRPr="00C020B8">
        <w:t>Candidate</w:t>
      </w:r>
      <w:r w:rsidRPr="00C020B8">
        <w:t xml:space="preserve"> that they have assessed – this must be done by a different Internal Verifier.</w:t>
      </w:r>
    </w:p>
    <w:p w14:paraId="739D7F3E" w14:textId="4D4EECF8" w:rsidR="0004544D" w:rsidRPr="00C020B8" w:rsidRDefault="0004544D" w:rsidP="0004544D">
      <w:pPr>
        <w:pStyle w:val="ListParagraph"/>
        <w:widowControl/>
        <w:numPr>
          <w:ilvl w:val="0"/>
          <w:numId w:val="30"/>
        </w:numPr>
        <w:adjustRightInd w:val="0"/>
        <w:contextualSpacing/>
        <w:jc w:val="both"/>
      </w:pPr>
      <w:r w:rsidRPr="00C020B8">
        <w:t xml:space="preserve">Should Internal Verifiers undertake </w:t>
      </w:r>
      <w:r w:rsidR="00CE36B9" w:rsidRPr="00C020B8">
        <w:t>Candidate</w:t>
      </w:r>
      <w:r w:rsidRPr="00C020B8">
        <w:t xml:space="preserve"> assessments, they must meet all the requirements outlined above for an Assessor.</w:t>
      </w:r>
    </w:p>
    <w:p w14:paraId="7C276734" w14:textId="598F91FB" w:rsidR="0004544D" w:rsidRPr="00C020B8" w:rsidRDefault="0004544D" w:rsidP="0004544D">
      <w:pPr>
        <w:pStyle w:val="ListParagraph"/>
        <w:widowControl/>
        <w:numPr>
          <w:ilvl w:val="0"/>
          <w:numId w:val="30"/>
        </w:numPr>
        <w:adjustRightInd w:val="0"/>
        <w:contextualSpacing/>
        <w:jc w:val="both"/>
      </w:pPr>
      <w:r w:rsidRPr="00C020B8">
        <w:t xml:space="preserve">Should an Internal Verifier with sufficient occupational expertise in the broad discipline area not be available, internal verification could be carried out by an experienced Internal Verifier from a related discipline (e.g. another maintenance or process related discipline).  Alternatively, specific approval could be sought from an Awarding Body/Organisation and/or </w:t>
      </w:r>
      <w:r w:rsidR="00071C2B" w:rsidRPr="00C020B8">
        <w:t xml:space="preserve">External Verifier </w:t>
      </w:r>
      <w:r w:rsidRPr="00C020B8">
        <w:t>for the use of an experienced Internal Verifier from a related discipline.</w:t>
      </w:r>
    </w:p>
    <w:p w14:paraId="79638525" w14:textId="77777777" w:rsidR="00E435E7" w:rsidRPr="00C020B8" w:rsidRDefault="00E435E7" w:rsidP="00E435E7">
      <w:pPr>
        <w:widowControl/>
        <w:adjustRightInd w:val="0"/>
        <w:contextualSpacing/>
        <w:jc w:val="both"/>
      </w:pPr>
    </w:p>
    <w:p w14:paraId="3A2EC51F" w14:textId="77777777" w:rsidR="00E435E7" w:rsidRPr="00C020B8" w:rsidRDefault="00E435E7" w:rsidP="00E435E7">
      <w:pPr>
        <w:pStyle w:val="BodyText"/>
        <w:spacing w:before="1"/>
      </w:pPr>
    </w:p>
    <w:p w14:paraId="2F4D0683" w14:textId="77777777" w:rsidR="00E435E7" w:rsidRPr="00C020B8" w:rsidRDefault="00E435E7" w:rsidP="00E435E7">
      <w:pPr>
        <w:pStyle w:val="Heading2"/>
        <w:rPr>
          <w:sz w:val="22"/>
          <w:szCs w:val="22"/>
        </w:rPr>
      </w:pPr>
      <w:bookmarkStart w:id="60" w:name="_Toc130825258"/>
      <w:r w:rsidRPr="00C020B8">
        <w:rPr>
          <w:sz w:val="22"/>
          <w:szCs w:val="22"/>
        </w:rPr>
        <w:t>Internal Verification and Sampling</w:t>
      </w:r>
      <w:bookmarkEnd w:id="60"/>
      <w:r w:rsidRPr="00C020B8">
        <w:rPr>
          <w:sz w:val="22"/>
          <w:szCs w:val="22"/>
        </w:rPr>
        <w:t xml:space="preserve">  </w:t>
      </w:r>
    </w:p>
    <w:p w14:paraId="38FF97AC" w14:textId="77777777" w:rsidR="00E435E7" w:rsidRPr="00C020B8" w:rsidRDefault="00E435E7" w:rsidP="00E435E7"/>
    <w:p w14:paraId="3F8B1BBA" w14:textId="77777777" w:rsidR="003D30E2" w:rsidRPr="00C020B8" w:rsidRDefault="003D30E2" w:rsidP="003D30E2">
      <w:pPr>
        <w:jc w:val="both"/>
      </w:pPr>
      <w:r w:rsidRPr="00C020B8">
        <w:t>It is important to have confidence in the assessment process and ensure all Assessors have carried out assessments in a fair and consistent manner, and that their assessment decisions are correct and consistent.</w:t>
      </w:r>
    </w:p>
    <w:p w14:paraId="56B379A6" w14:textId="77777777" w:rsidR="003D30E2" w:rsidRPr="00C020B8" w:rsidRDefault="003D30E2" w:rsidP="003D30E2">
      <w:pPr>
        <w:jc w:val="both"/>
      </w:pPr>
    </w:p>
    <w:p w14:paraId="3E4EAF4B" w14:textId="77777777" w:rsidR="003D30E2" w:rsidRPr="00C020B8" w:rsidRDefault="003D30E2" w:rsidP="003D30E2">
      <w:pPr>
        <w:jc w:val="both"/>
      </w:pPr>
      <w:r w:rsidRPr="00C020B8">
        <w:t xml:space="preserve">The Internal Verifier is responsible for ensuring the validity of internal assessments and the reliability of Assessors’ decisions. This responsibility has several parts: </w:t>
      </w:r>
    </w:p>
    <w:p w14:paraId="6BA7AFDA" w14:textId="77777777" w:rsidR="003D30E2" w:rsidRPr="00C020B8" w:rsidRDefault="003D30E2" w:rsidP="003D30E2">
      <w:pPr>
        <w:jc w:val="both"/>
      </w:pPr>
    </w:p>
    <w:p w14:paraId="1B1235B5" w14:textId="77777777" w:rsidR="003D30E2" w:rsidRPr="00C020B8" w:rsidRDefault="003D30E2" w:rsidP="003D30E2">
      <w:pPr>
        <w:pStyle w:val="ListParagraph"/>
        <w:widowControl/>
        <w:numPr>
          <w:ilvl w:val="0"/>
          <w:numId w:val="14"/>
        </w:numPr>
        <w:autoSpaceDE/>
        <w:autoSpaceDN/>
        <w:ind w:left="357" w:hanging="357"/>
        <w:jc w:val="both"/>
      </w:pPr>
      <w:r w:rsidRPr="00C020B8">
        <w:t>Supporting Assessors.</w:t>
      </w:r>
    </w:p>
    <w:p w14:paraId="24A32FCE" w14:textId="77777777" w:rsidR="003D30E2" w:rsidRPr="00C020B8" w:rsidRDefault="003D30E2" w:rsidP="003D30E2">
      <w:pPr>
        <w:pStyle w:val="ListParagraph"/>
        <w:widowControl/>
        <w:numPr>
          <w:ilvl w:val="0"/>
          <w:numId w:val="14"/>
        </w:numPr>
        <w:autoSpaceDE/>
        <w:autoSpaceDN/>
        <w:ind w:left="357" w:hanging="357"/>
        <w:jc w:val="both"/>
      </w:pPr>
      <w:r w:rsidRPr="00C020B8">
        <w:t>Checking assessment instruments to ensure validity.</w:t>
      </w:r>
    </w:p>
    <w:p w14:paraId="236DBD84" w14:textId="77777777" w:rsidR="003D30E2" w:rsidRPr="00C020B8" w:rsidRDefault="003D30E2" w:rsidP="003D30E2">
      <w:pPr>
        <w:pStyle w:val="ListParagraph"/>
        <w:widowControl/>
        <w:numPr>
          <w:ilvl w:val="0"/>
          <w:numId w:val="14"/>
        </w:numPr>
        <w:autoSpaceDE/>
        <w:autoSpaceDN/>
        <w:ind w:left="357" w:hanging="357"/>
        <w:jc w:val="both"/>
      </w:pPr>
      <w:r w:rsidRPr="00C020B8">
        <w:t>Arranging standardisation exercises.</w:t>
      </w:r>
    </w:p>
    <w:p w14:paraId="440C35F6" w14:textId="77777777" w:rsidR="003D30E2" w:rsidRPr="00C020B8" w:rsidRDefault="003D30E2" w:rsidP="003D30E2">
      <w:pPr>
        <w:pStyle w:val="ListParagraph"/>
        <w:widowControl/>
        <w:numPr>
          <w:ilvl w:val="0"/>
          <w:numId w:val="14"/>
        </w:numPr>
        <w:autoSpaceDE/>
        <w:autoSpaceDN/>
        <w:ind w:left="357" w:hanging="357"/>
        <w:jc w:val="both"/>
      </w:pPr>
      <w:r w:rsidRPr="00C020B8">
        <w:t>Sampling assessment decisions.</w:t>
      </w:r>
    </w:p>
    <w:p w14:paraId="237F035F" w14:textId="77777777" w:rsidR="003D30E2" w:rsidRPr="00C020B8" w:rsidRDefault="003D30E2" w:rsidP="003D30E2">
      <w:pPr>
        <w:pStyle w:val="ListParagraph"/>
        <w:widowControl/>
        <w:numPr>
          <w:ilvl w:val="0"/>
          <w:numId w:val="14"/>
        </w:numPr>
        <w:autoSpaceDE/>
        <w:autoSpaceDN/>
        <w:ind w:left="357" w:hanging="357"/>
        <w:jc w:val="both"/>
      </w:pPr>
      <w:r w:rsidRPr="00C020B8">
        <w:t>Maintaining assessment and verification records.</w:t>
      </w:r>
    </w:p>
    <w:p w14:paraId="5AB127A8" w14:textId="77777777" w:rsidR="003D30E2" w:rsidRPr="00C020B8" w:rsidRDefault="003D30E2" w:rsidP="003D30E2">
      <w:pPr>
        <w:pStyle w:val="CommentText"/>
        <w:rPr>
          <w:sz w:val="22"/>
          <w:szCs w:val="22"/>
        </w:rPr>
      </w:pPr>
    </w:p>
    <w:p w14:paraId="594B3132" w14:textId="77777777" w:rsidR="003D30E2" w:rsidRPr="00C020B8" w:rsidRDefault="003D30E2" w:rsidP="003D30E2">
      <w:pPr>
        <w:jc w:val="both"/>
      </w:pPr>
      <w:r w:rsidRPr="00C020B8">
        <w:t>Interim verification must be ongoing through the assessment process. This allows the Internal Verifier to review assessment decisions before final conclusions are made. This identifies any areas for improvement at an early stage and will allow support or training to be provided to Assessors if required. The outcomes of internal verification should be given as feedback to the Assessors and used to improve the assessment process.</w:t>
      </w:r>
    </w:p>
    <w:p w14:paraId="34AB2AD9" w14:textId="77777777" w:rsidR="003D30E2" w:rsidRPr="00C020B8" w:rsidRDefault="003D30E2" w:rsidP="003D30E2">
      <w:pPr>
        <w:jc w:val="both"/>
      </w:pPr>
    </w:p>
    <w:p w14:paraId="25979EF3" w14:textId="06AB963F" w:rsidR="003D30E2" w:rsidRPr="00C020B8" w:rsidRDefault="003D30E2" w:rsidP="003D30E2">
      <w:pPr>
        <w:jc w:val="both"/>
      </w:pPr>
      <w:r w:rsidRPr="00C020B8">
        <w:t xml:space="preserve">The Internal Verifier should select a sample of </w:t>
      </w:r>
      <w:r w:rsidR="00CE36B9" w:rsidRPr="00C020B8">
        <w:t>Candidate</w:t>
      </w:r>
      <w:r w:rsidRPr="00C020B8">
        <w:t xml:space="preserve"> evidence to check that each Assessor is making consistent decisions in line with national Standard(s)</w:t>
      </w:r>
      <w:r w:rsidR="00071C2B" w:rsidRPr="00C020B8">
        <w:t>.</w:t>
      </w:r>
    </w:p>
    <w:p w14:paraId="44B99B21" w14:textId="77777777" w:rsidR="003D30E2" w:rsidRPr="00C020B8" w:rsidRDefault="003D30E2" w:rsidP="003D30E2">
      <w:pPr>
        <w:jc w:val="both"/>
      </w:pPr>
    </w:p>
    <w:p w14:paraId="1F812C70" w14:textId="7FAFAC40" w:rsidR="003D30E2" w:rsidRPr="00C020B8" w:rsidRDefault="003D30E2" w:rsidP="003D30E2">
      <w:pPr>
        <w:jc w:val="both"/>
      </w:pPr>
      <w:r w:rsidRPr="00C020B8">
        <w:t xml:space="preserve">Internal Verification sampling must cover all Assessors, all Standard(s) and all </w:t>
      </w:r>
      <w:r w:rsidR="00CE36B9" w:rsidRPr="00C020B8">
        <w:t>Candidate</w:t>
      </w:r>
      <w:r w:rsidRPr="00C020B8">
        <w:t xml:space="preserve">s.  </w:t>
      </w:r>
    </w:p>
    <w:p w14:paraId="39928A4C" w14:textId="77777777" w:rsidR="003D30E2" w:rsidRPr="00C020B8" w:rsidRDefault="003D30E2" w:rsidP="003D30E2">
      <w:pPr>
        <w:jc w:val="both"/>
      </w:pPr>
    </w:p>
    <w:p w14:paraId="45D055A2" w14:textId="77777777" w:rsidR="003D30E2" w:rsidRPr="00C020B8" w:rsidRDefault="003D30E2" w:rsidP="003D30E2">
      <w:pPr>
        <w:jc w:val="both"/>
      </w:pPr>
      <w:r w:rsidRPr="00C020B8">
        <w:t xml:space="preserve">There are several key features that should be considered in selecting a sample. These include: </w:t>
      </w:r>
    </w:p>
    <w:p w14:paraId="64720164" w14:textId="77777777" w:rsidR="003D30E2" w:rsidRPr="00C020B8" w:rsidRDefault="003D30E2" w:rsidP="003D30E2">
      <w:pPr>
        <w:jc w:val="both"/>
      </w:pPr>
    </w:p>
    <w:p w14:paraId="04AC357E" w14:textId="0D5BEF10" w:rsidR="003D30E2" w:rsidRPr="00C020B8" w:rsidRDefault="003D30E2" w:rsidP="003D30E2">
      <w:pPr>
        <w:pStyle w:val="ListParagraph"/>
        <w:widowControl/>
        <w:numPr>
          <w:ilvl w:val="0"/>
          <w:numId w:val="43"/>
        </w:numPr>
        <w:autoSpaceDE/>
        <w:autoSpaceDN/>
        <w:ind w:left="357" w:hanging="357"/>
        <w:jc w:val="both"/>
      </w:pPr>
      <w:r w:rsidRPr="00C020B8">
        <w:t xml:space="preserve">First time delivery of a </w:t>
      </w:r>
      <w:r w:rsidR="00071C2B" w:rsidRPr="00C020B8">
        <w:t>Standard</w:t>
      </w:r>
      <w:r w:rsidRPr="00C020B8">
        <w:t>.</w:t>
      </w:r>
    </w:p>
    <w:p w14:paraId="5D8CE648" w14:textId="77777777" w:rsidR="003D30E2" w:rsidRPr="00C020B8" w:rsidRDefault="003D30E2" w:rsidP="003D30E2">
      <w:pPr>
        <w:pStyle w:val="ListParagraph"/>
        <w:widowControl/>
        <w:numPr>
          <w:ilvl w:val="0"/>
          <w:numId w:val="43"/>
        </w:numPr>
        <w:autoSpaceDE/>
        <w:autoSpaceDN/>
        <w:ind w:left="357" w:hanging="357"/>
        <w:jc w:val="both"/>
      </w:pPr>
      <w:r w:rsidRPr="00C020B8">
        <w:t>New Assessor.</w:t>
      </w:r>
    </w:p>
    <w:p w14:paraId="016B4B40" w14:textId="77777777" w:rsidR="003D30E2" w:rsidRPr="00C020B8" w:rsidRDefault="003D30E2" w:rsidP="003D30E2">
      <w:pPr>
        <w:pStyle w:val="ListParagraph"/>
        <w:widowControl/>
        <w:numPr>
          <w:ilvl w:val="0"/>
          <w:numId w:val="43"/>
        </w:numPr>
        <w:autoSpaceDE/>
        <w:autoSpaceDN/>
        <w:ind w:left="357" w:hanging="357"/>
        <w:jc w:val="both"/>
      </w:pPr>
      <w:r w:rsidRPr="00C020B8">
        <w:t>Previous issues or areas for improvement identified by internal or external verification/audit.</w:t>
      </w:r>
    </w:p>
    <w:p w14:paraId="0C3289BB" w14:textId="77777777" w:rsidR="003D30E2" w:rsidRPr="00C020B8" w:rsidRDefault="003D30E2" w:rsidP="003D30E2">
      <w:pPr>
        <w:pStyle w:val="ListParagraph"/>
        <w:ind w:left="360"/>
        <w:jc w:val="both"/>
      </w:pPr>
    </w:p>
    <w:p w14:paraId="09DA763F" w14:textId="77777777" w:rsidR="003D30E2" w:rsidRPr="00C020B8" w:rsidRDefault="003D30E2" w:rsidP="003D30E2">
      <w:pPr>
        <w:spacing w:after="120"/>
        <w:jc w:val="both"/>
        <w:rPr>
          <w:b/>
        </w:rPr>
      </w:pPr>
      <w:r w:rsidRPr="00C020B8">
        <w:rPr>
          <w:b/>
        </w:rPr>
        <w:t>For example:</w:t>
      </w:r>
    </w:p>
    <w:p w14:paraId="1CF70D6B" w14:textId="1AEEEB18" w:rsidR="003D30E2" w:rsidRPr="00C020B8" w:rsidRDefault="003D30E2" w:rsidP="003D30E2">
      <w:pPr>
        <w:jc w:val="both"/>
      </w:pPr>
      <w:r w:rsidRPr="00C020B8">
        <w:t xml:space="preserve">The rate of internal verification sampling should be increased when delivering a new </w:t>
      </w:r>
      <w:proofErr w:type="gramStart"/>
      <w:r w:rsidRPr="00C020B8">
        <w:t>Standard  .</w:t>
      </w:r>
      <w:proofErr w:type="gramEnd"/>
      <w:r w:rsidRPr="00C020B8">
        <w:t xml:space="preserve">  In most cases this should start at 100% for all Assessors.  </w:t>
      </w:r>
    </w:p>
    <w:p w14:paraId="4CCA7862" w14:textId="77777777" w:rsidR="003D30E2" w:rsidRPr="00C020B8" w:rsidRDefault="003D30E2" w:rsidP="003D30E2">
      <w:pPr>
        <w:jc w:val="both"/>
      </w:pPr>
    </w:p>
    <w:p w14:paraId="0E7913C5" w14:textId="38AE16BA" w:rsidR="003D30E2" w:rsidRPr="00C020B8" w:rsidRDefault="003D30E2" w:rsidP="003D30E2">
      <w:pPr>
        <w:jc w:val="both"/>
      </w:pPr>
      <w:r w:rsidRPr="00C020B8">
        <w:lastRenderedPageBreak/>
        <w:t>Internal verification of safety Standard(s</w:t>
      </w:r>
      <w:r w:rsidR="00071C2B" w:rsidRPr="00C020B8">
        <w:t>)</w:t>
      </w:r>
      <w:r w:rsidRPr="00C020B8">
        <w:t xml:space="preserve"> should always be 100% for all Assessors.</w:t>
      </w:r>
    </w:p>
    <w:p w14:paraId="55F8255C" w14:textId="77777777" w:rsidR="003D30E2" w:rsidRPr="00C020B8" w:rsidRDefault="003D30E2" w:rsidP="003D30E2">
      <w:pPr>
        <w:jc w:val="both"/>
      </w:pPr>
    </w:p>
    <w:p w14:paraId="2EF16F03" w14:textId="187F5673" w:rsidR="00A9543A" w:rsidRPr="00C020B8" w:rsidRDefault="003D30E2" w:rsidP="003A7DA7">
      <w:pPr>
        <w:jc w:val="both"/>
      </w:pPr>
      <w:r w:rsidRPr="00C020B8">
        <w:t>100% of assessments carried out by new or inexperienced Assessors should be verified for the first 3 assessments carried out for each Standard being assessed.  Assuming that verifications are acceptable, a sampling rate of 50% could be introduced for a further 3 assessments, reducing to 25% for all further assessments.  Should any issue</w:t>
      </w:r>
      <w:r w:rsidR="00071C2B" w:rsidRPr="00C020B8">
        <w:t>s</w:t>
      </w:r>
      <w:r w:rsidRPr="00C020B8">
        <w:t xml:space="preserve"> be identified during sampling, verification should return to 100%.  This verification sampling plan should be applied to each new Standards being assessed by new or inexperienced Assessors.</w:t>
      </w:r>
      <w:r w:rsidR="00A9543A" w:rsidRPr="00C020B8">
        <w:rPr>
          <w:rFonts w:asciiTheme="minorHAnsi" w:hAnsiTheme="minorHAnsi"/>
          <w:color w:val="FF0000"/>
        </w:rPr>
        <w:br w:type="page"/>
      </w:r>
    </w:p>
    <w:p w14:paraId="37542C88" w14:textId="77777777" w:rsidR="00272767" w:rsidRPr="00C020B8" w:rsidRDefault="00272767" w:rsidP="00272767">
      <w:pPr>
        <w:pStyle w:val="BodyText"/>
        <w:rPr>
          <w:rFonts w:ascii="Times New Roman"/>
          <w:sz w:val="26"/>
        </w:rPr>
      </w:pPr>
    </w:p>
    <w:p w14:paraId="2D1E37B8" w14:textId="77777777" w:rsidR="00272767" w:rsidRPr="00C020B8" w:rsidRDefault="00272767" w:rsidP="00272767">
      <w:pPr>
        <w:pStyle w:val="BodyText"/>
        <w:spacing w:before="11"/>
        <w:rPr>
          <w:rFonts w:ascii="Times New Roman"/>
          <w:sz w:val="21"/>
        </w:rPr>
      </w:pPr>
    </w:p>
    <w:p w14:paraId="0822E312" w14:textId="6A83812F" w:rsidR="00BC03F0" w:rsidRPr="00C020B8" w:rsidRDefault="00BC03F0" w:rsidP="00272767">
      <w:pPr>
        <w:spacing w:before="73"/>
        <w:rPr>
          <w:b/>
          <w:sz w:val="28"/>
          <w:szCs w:val="28"/>
        </w:rPr>
      </w:pPr>
      <w:r w:rsidRPr="00C020B8">
        <w:rPr>
          <w:b/>
          <w:sz w:val="28"/>
          <w:szCs w:val="28"/>
        </w:rPr>
        <w:t xml:space="preserve">External quality </w:t>
      </w:r>
      <w:r w:rsidR="00486869" w:rsidRPr="00C020B8">
        <w:rPr>
          <w:b/>
          <w:sz w:val="28"/>
          <w:szCs w:val="28"/>
        </w:rPr>
        <w:t>assurance</w:t>
      </w:r>
    </w:p>
    <w:p w14:paraId="0FB913F7" w14:textId="77777777" w:rsidR="003A7DA7" w:rsidRPr="00C020B8" w:rsidRDefault="003A7DA7" w:rsidP="00F9023A">
      <w:pPr>
        <w:tabs>
          <w:tab w:val="left" w:pos="426"/>
        </w:tabs>
        <w:adjustRightInd w:val="0"/>
      </w:pPr>
    </w:p>
    <w:p w14:paraId="092EC152" w14:textId="7AB1BD53" w:rsidR="00F9023A" w:rsidRPr="00C020B8" w:rsidRDefault="00F9023A" w:rsidP="00F9023A">
      <w:pPr>
        <w:tabs>
          <w:tab w:val="left" w:pos="426"/>
        </w:tabs>
        <w:adjustRightInd w:val="0"/>
      </w:pPr>
      <w:r w:rsidRPr="00C020B8">
        <w:t xml:space="preserve">External quality control of assessment will be carried out by Awarding Bodies/Audit Organisations.  </w:t>
      </w:r>
    </w:p>
    <w:p w14:paraId="61BB1B63" w14:textId="77777777" w:rsidR="00F9023A" w:rsidRPr="00C020B8" w:rsidRDefault="00F9023A" w:rsidP="00F9023A">
      <w:pPr>
        <w:tabs>
          <w:tab w:val="left" w:pos="426"/>
        </w:tabs>
        <w:adjustRightInd w:val="0"/>
      </w:pPr>
    </w:p>
    <w:p w14:paraId="6216926F" w14:textId="77777777" w:rsidR="00F9023A" w:rsidRPr="00C020B8" w:rsidRDefault="00F9023A" w:rsidP="00F9023A">
      <w:pPr>
        <w:pStyle w:val="Heading3"/>
        <w:rPr>
          <w:sz w:val="22"/>
          <w:szCs w:val="22"/>
        </w:rPr>
      </w:pPr>
      <w:r w:rsidRPr="00C020B8">
        <w:rPr>
          <w:sz w:val="22"/>
          <w:szCs w:val="22"/>
        </w:rPr>
        <w:t xml:space="preserve">Responsibilities </w:t>
      </w:r>
    </w:p>
    <w:p w14:paraId="16FC94A1" w14:textId="77777777" w:rsidR="00F9023A" w:rsidRPr="00C020B8" w:rsidRDefault="00F9023A" w:rsidP="00F9023A">
      <w:pPr>
        <w:tabs>
          <w:tab w:val="left" w:pos="426"/>
        </w:tabs>
        <w:adjustRightInd w:val="0"/>
      </w:pPr>
      <w:r w:rsidRPr="00C020B8">
        <w:t>Awarding Bodies/Organisations will be responsible for:</w:t>
      </w:r>
    </w:p>
    <w:p w14:paraId="72DE91F8" w14:textId="52A33D59" w:rsidR="00F9023A" w:rsidRPr="00C020B8" w:rsidRDefault="00F9023A" w:rsidP="00F9023A">
      <w:pPr>
        <w:pStyle w:val="ListParagraph"/>
        <w:widowControl/>
        <w:numPr>
          <w:ilvl w:val="0"/>
          <w:numId w:val="34"/>
        </w:numPr>
        <w:tabs>
          <w:tab w:val="left" w:pos="426"/>
        </w:tabs>
        <w:adjustRightInd w:val="0"/>
        <w:spacing w:before="120" w:after="120"/>
        <w:ind w:left="357" w:hanging="357"/>
        <w:contextualSpacing/>
      </w:pPr>
      <w:r w:rsidRPr="00C020B8">
        <w:rPr>
          <w:b/>
        </w:rPr>
        <w:t>Approval</w:t>
      </w:r>
      <w:r w:rsidRPr="00C020B8">
        <w:t xml:space="preserve"> of new Centres to ensure that they are suitably equipped and prepared to assess against the Standard(s) and have sufficient Assessors and Internal Verifiers in </w:t>
      </w:r>
      <w:proofErr w:type="gramStart"/>
      <w:r w:rsidRPr="00C020B8">
        <w:t>place;</w:t>
      </w:r>
      <w:proofErr w:type="gramEnd"/>
    </w:p>
    <w:p w14:paraId="5F92BABF" w14:textId="19EA4BBE" w:rsidR="00F9023A" w:rsidRPr="00C020B8" w:rsidRDefault="00F9023A" w:rsidP="00F9023A">
      <w:pPr>
        <w:pStyle w:val="ListParagraph"/>
        <w:widowControl/>
        <w:numPr>
          <w:ilvl w:val="0"/>
          <w:numId w:val="34"/>
        </w:numPr>
        <w:tabs>
          <w:tab w:val="left" w:pos="426"/>
        </w:tabs>
        <w:adjustRightInd w:val="0"/>
        <w:spacing w:before="120" w:after="120"/>
        <w:ind w:left="357" w:hanging="357"/>
        <w:contextualSpacing/>
      </w:pPr>
      <w:r w:rsidRPr="00C020B8">
        <w:rPr>
          <w:b/>
        </w:rPr>
        <w:t xml:space="preserve">External Verification </w:t>
      </w:r>
      <w:r w:rsidR="00D22699" w:rsidRPr="00C020B8">
        <w:t>to monitor Approved Centres’ performance to ensure that the requirements of the Standards</w:t>
      </w:r>
      <w:r w:rsidR="00E3393F" w:rsidRPr="00C020B8">
        <w:t xml:space="preserve"> </w:t>
      </w:r>
      <w:r w:rsidR="00D22699" w:rsidRPr="00C020B8">
        <w:t>and the Assessment Strategy are being met</w:t>
      </w:r>
    </w:p>
    <w:p w14:paraId="1B1321B5" w14:textId="77777777" w:rsidR="00F9023A" w:rsidRPr="00C020B8" w:rsidRDefault="00F9023A" w:rsidP="00F9023A">
      <w:pPr>
        <w:tabs>
          <w:tab w:val="left" w:pos="426"/>
        </w:tabs>
        <w:adjustRightInd w:val="0"/>
      </w:pPr>
    </w:p>
    <w:p w14:paraId="4800DAF2" w14:textId="77777777" w:rsidR="00F9023A" w:rsidRPr="00C020B8" w:rsidRDefault="00F9023A" w:rsidP="00F9023A">
      <w:pPr>
        <w:tabs>
          <w:tab w:val="left" w:pos="426"/>
        </w:tabs>
        <w:adjustRightInd w:val="0"/>
      </w:pPr>
      <w:r w:rsidRPr="00C020B8">
        <w:t>Awarding Bodies/Organisations must ensure that:</w:t>
      </w:r>
    </w:p>
    <w:p w14:paraId="63DC469C" w14:textId="77777777" w:rsidR="00F9023A" w:rsidRPr="00C020B8" w:rsidRDefault="00F9023A" w:rsidP="00F9023A">
      <w:pPr>
        <w:tabs>
          <w:tab w:val="left" w:pos="426"/>
        </w:tabs>
        <w:adjustRightInd w:val="0"/>
      </w:pPr>
    </w:p>
    <w:p w14:paraId="148DC091" w14:textId="1A8F6502" w:rsidR="00F9023A" w:rsidRPr="00C020B8" w:rsidRDefault="00F9023A" w:rsidP="00F9023A">
      <w:pPr>
        <w:pStyle w:val="ListParagraph"/>
        <w:widowControl/>
        <w:numPr>
          <w:ilvl w:val="0"/>
          <w:numId w:val="35"/>
        </w:numPr>
        <w:tabs>
          <w:tab w:val="left" w:pos="426"/>
        </w:tabs>
        <w:adjustRightInd w:val="0"/>
        <w:contextualSpacing/>
      </w:pPr>
      <w:r w:rsidRPr="00C020B8">
        <w:t xml:space="preserve">Approved Centres have implemented robust quality assurance systems to ensure that the quality of the assessment and verification processes is maintained and meets the requirements of the </w:t>
      </w:r>
      <w:r w:rsidR="00844AC9" w:rsidRPr="00C020B8">
        <w:t>Standard(s).</w:t>
      </w:r>
    </w:p>
    <w:p w14:paraId="1D2131C0" w14:textId="62E1ACEC" w:rsidR="00F9023A" w:rsidRPr="00C020B8" w:rsidRDefault="00F9023A" w:rsidP="00F9023A">
      <w:pPr>
        <w:pStyle w:val="ListParagraph"/>
        <w:widowControl/>
        <w:numPr>
          <w:ilvl w:val="0"/>
          <w:numId w:val="35"/>
        </w:numPr>
        <w:tabs>
          <w:tab w:val="left" w:pos="426"/>
        </w:tabs>
        <w:adjustRightInd w:val="0"/>
        <w:contextualSpacing/>
        <w:rPr>
          <w:rFonts w:eastAsia="Times New Roman"/>
        </w:rPr>
      </w:pPr>
      <w:r w:rsidRPr="00C020B8">
        <w:t xml:space="preserve">Assessments are subject to a valid verification process - Approved Centres must be able to demonstrate that they have implemented a valid sampling plan which samples evidence across all Assessors and </w:t>
      </w:r>
      <w:r w:rsidR="00CE36B9" w:rsidRPr="00C020B8">
        <w:t>Candidate</w:t>
      </w:r>
      <w:r w:rsidRPr="00C020B8">
        <w:t>s.</w:t>
      </w:r>
    </w:p>
    <w:p w14:paraId="1D7E59A2" w14:textId="390DC847" w:rsidR="00F9023A" w:rsidRPr="00C020B8" w:rsidRDefault="00CE36B9" w:rsidP="00F9023A">
      <w:pPr>
        <w:pStyle w:val="ListParagraph"/>
        <w:widowControl/>
        <w:numPr>
          <w:ilvl w:val="0"/>
          <w:numId w:val="35"/>
        </w:numPr>
        <w:tabs>
          <w:tab w:val="left" w:pos="426"/>
        </w:tabs>
        <w:adjustRightInd w:val="0"/>
        <w:contextualSpacing/>
      </w:pPr>
      <w:r w:rsidRPr="00C020B8">
        <w:t>Candidate</w:t>
      </w:r>
      <w:r w:rsidR="00F9023A" w:rsidRPr="00C020B8">
        <w:t xml:space="preserve">s have access to </w:t>
      </w:r>
      <w:proofErr w:type="gramStart"/>
      <w:r w:rsidR="00F9023A" w:rsidRPr="00C020B8">
        <w:t>safe,  fair</w:t>
      </w:r>
      <w:proofErr w:type="gramEnd"/>
      <w:r w:rsidR="00F9023A" w:rsidRPr="00C020B8">
        <w:t xml:space="preserve"> and equitable assessment opportunities and have a right to appeal against any decision made by their Assessor.</w:t>
      </w:r>
    </w:p>
    <w:p w14:paraId="13416F40" w14:textId="71559F19" w:rsidR="00F9023A" w:rsidRPr="00C020B8" w:rsidRDefault="00F9023A" w:rsidP="00F9023A">
      <w:pPr>
        <w:pStyle w:val="ListParagraph"/>
        <w:widowControl/>
        <w:numPr>
          <w:ilvl w:val="0"/>
          <w:numId w:val="35"/>
        </w:numPr>
        <w:tabs>
          <w:tab w:val="left" w:pos="426"/>
        </w:tabs>
        <w:adjustRightInd w:val="0"/>
        <w:contextualSpacing/>
      </w:pPr>
      <w:r w:rsidRPr="00C020B8">
        <w:t xml:space="preserve">Approved Centres maintain a list of Assessors, Internal Verifiers and Expert Witnesses who are involved in assessment and internal verification activities for each Standard supported by CVs.  </w:t>
      </w:r>
    </w:p>
    <w:p w14:paraId="5055A418" w14:textId="77777777" w:rsidR="00F9023A" w:rsidRPr="00C020B8" w:rsidRDefault="00F9023A" w:rsidP="00F9023A">
      <w:pPr>
        <w:tabs>
          <w:tab w:val="left" w:pos="426"/>
        </w:tabs>
        <w:adjustRightInd w:val="0"/>
      </w:pPr>
    </w:p>
    <w:p w14:paraId="00850F41" w14:textId="1FC1B023" w:rsidR="00F9023A" w:rsidRPr="00C020B8" w:rsidRDefault="00F9023A" w:rsidP="00F9023A">
      <w:pPr>
        <w:adjustRightInd w:val="0"/>
      </w:pPr>
      <w:r w:rsidRPr="00C020B8">
        <w:t xml:space="preserve">The primary method of external quality control of assessment will be through Approval and External Verification </w:t>
      </w:r>
      <w:r w:rsidR="00A72328" w:rsidRPr="00C020B8">
        <w:t>activity</w:t>
      </w:r>
      <w:r w:rsidRPr="00C020B8">
        <w:t xml:space="preserve"> to Approved Centres.  Alternative methods, such as paper approvals, postal verification or online verification (where online portfolios have been generated), may be used following a valid risk assessment of each Approved Centre.  </w:t>
      </w:r>
    </w:p>
    <w:p w14:paraId="0BA6DE9F" w14:textId="77777777" w:rsidR="00F9023A" w:rsidRPr="00C020B8" w:rsidRDefault="00F9023A" w:rsidP="00F9023A">
      <w:pPr>
        <w:adjustRightInd w:val="0"/>
      </w:pPr>
    </w:p>
    <w:p w14:paraId="1BB74179" w14:textId="7CC56F8D" w:rsidR="00F9023A" w:rsidRPr="00C020B8" w:rsidRDefault="00F9023A" w:rsidP="00F9023A">
      <w:pPr>
        <w:tabs>
          <w:tab w:val="left" w:pos="426"/>
        </w:tabs>
        <w:adjustRightInd w:val="0"/>
      </w:pPr>
      <w:r w:rsidRPr="00C020B8">
        <w:t xml:space="preserve">External Verification must be carried out on a minimum of an annual basis for active Approved Centres.  Standardisation activities for </w:t>
      </w:r>
      <w:r w:rsidR="00844AC9" w:rsidRPr="00C020B8">
        <w:t>External Verifiers</w:t>
      </w:r>
      <w:r w:rsidR="00C020B8" w:rsidRPr="00C020B8">
        <w:t xml:space="preserve"> </w:t>
      </w:r>
      <w:r w:rsidRPr="00C020B8">
        <w:t>must take place on a regular basis to ensure consistency within Approved Centres.  This would be separate to any ongoing monitoring undertaken by OPITO.</w:t>
      </w:r>
    </w:p>
    <w:p w14:paraId="6057776A" w14:textId="77777777" w:rsidR="00F9023A" w:rsidRPr="00C020B8" w:rsidRDefault="00F9023A" w:rsidP="00F9023A">
      <w:pPr>
        <w:tabs>
          <w:tab w:val="left" w:pos="426"/>
        </w:tabs>
        <w:adjustRightInd w:val="0"/>
      </w:pPr>
    </w:p>
    <w:p w14:paraId="168D0566" w14:textId="3D555C99" w:rsidR="00F9023A" w:rsidRPr="00C020B8" w:rsidRDefault="00F9023A" w:rsidP="00F9023A">
      <w:pPr>
        <w:tabs>
          <w:tab w:val="left" w:pos="426"/>
        </w:tabs>
        <w:adjustRightInd w:val="0"/>
      </w:pPr>
      <w:r w:rsidRPr="00C020B8">
        <w:t xml:space="preserve">Awarding Bodies/Organisations will be responsible for taking relevant sanctions against Approved Centres who have not met the requirements of the </w:t>
      </w:r>
      <w:r w:rsidR="00844AC9" w:rsidRPr="00C020B8">
        <w:t>Standard(s)</w:t>
      </w:r>
      <w:r w:rsidRPr="00C020B8">
        <w:t xml:space="preserve"> and the Assessment Strategy and for ensuring that corrective actions are implemented.  </w:t>
      </w:r>
    </w:p>
    <w:p w14:paraId="3B14DACB" w14:textId="77777777" w:rsidR="00F9023A" w:rsidRPr="00C020B8" w:rsidRDefault="00F9023A" w:rsidP="00F9023A">
      <w:pPr>
        <w:ind w:right="-188"/>
        <w:jc w:val="both"/>
      </w:pPr>
    </w:p>
    <w:p w14:paraId="2A1A7530" w14:textId="77777777" w:rsidR="00F9023A" w:rsidRPr="00C020B8" w:rsidRDefault="00F9023A" w:rsidP="00F9023A">
      <w:r w:rsidRPr="00C020B8">
        <w:br w:type="page"/>
      </w:r>
    </w:p>
    <w:p w14:paraId="540E8B4D" w14:textId="77777777" w:rsidR="00F9023A" w:rsidRPr="00C020B8" w:rsidRDefault="00F9023A" w:rsidP="00F9023A">
      <w:pPr>
        <w:pStyle w:val="Heading3"/>
        <w:rPr>
          <w:sz w:val="22"/>
          <w:szCs w:val="22"/>
        </w:rPr>
      </w:pPr>
      <w:r w:rsidRPr="00C020B8">
        <w:rPr>
          <w:sz w:val="22"/>
          <w:szCs w:val="22"/>
        </w:rPr>
        <w:lastRenderedPageBreak/>
        <w:t xml:space="preserve">Minimum Requirements </w:t>
      </w:r>
    </w:p>
    <w:p w14:paraId="03FBBC12" w14:textId="77777777" w:rsidR="003A7DA7" w:rsidRPr="00C020B8" w:rsidRDefault="003A7DA7" w:rsidP="00F9023A">
      <w:pPr>
        <w:pStyle w:val="Heading3"/>
        <w:rPr>
          <w:sz w:val="22"/>
          <w:szCs w:val="22"/>
        </w:rPr>
      </w:pPr>
    </w:p>
    <w:p w14:paraId="4D02F325" w14:textId="0F2690AB" w:rsidR="00F9023A" w:rsidRPr="00C020B8" w:rsidRDefault="00844AC9" w:rsidP="00F9023A">
      <w:pPr>
        <w:adjustRightInd w:val="0"/>
      </w:pPr>
      <w:r w:rsidRPr="00C020B8">
        <w:t>External Verifiers</w:t>
      </w:r>
      <w:r w:rsidR="00C020B8" w:rsidRPr="00C020B8">
        <w:t xml:space="preserve"> </w:t>
      </w:r>
      <w:r w:rsidR="00F9023A" w:rsidRPr="00C020B8">
        <w:t>must meet the following minimum requirements when involved in the assessment process for SVQs:</w:t>
      </w:r>
    </w:p>
    <w:p w14:paraId="0536BB0C" w14:textId="77777777" w:rsidR="00F9023A" w:rsidRPr="00C020B8" w:rsidRDefault="00F9023A" w:rsidP="00F9023A">
      <w:pPr>
        <w:adjustRightInd w:val="0"/>
      </w:pPr>
    </w:p>
    <w:p w14:paraId="1FB25E5A" w14:textId="6CE80D6D" w:rsidR="00F9023A" w:rsidRPr="00C020B8" w:rsidRDefault="00F9023A" w:rsidP="00F9023A">
      <w:pPr>
        <w:pStyle w:val="ListParagraph"/>
        <w:widowControl/>
        <w:numPr>
          <w:ilvl w:val="0"/>
          <w:numId w:val="36"/>
        </w:numPr>
        <w:tabs>
          <w:tab w:val="left" w:pos="426"/>
        </w:tabs>
        <w:adjustRightInd w:val="0"/>
        <w:contextualSpacing/>
      </w:pPr>
      <w:r w:rsidRPr="00C020B8">
        <w:t>Hold (or be working towards it) a recognised External Verifier qualification</w:t>
      </w:r>
      <w:r w:rsidR="00A72328" w:rsidRPr="00C020B8">
        <w:t xml:space="preserve"> withi</w:t>
      </w:r>
      <w:r w:rsidR="00BB0A68" w:rsidRPr="00C020B8">
        <w:t>n 2 years of starting</w:t>
      </w:r>
      <w:r w:rsidRPr="00C020B8">
        <w:t xml:space="preserve"> (e.g. L&amp;D12, D35 or V2)</w:t>
      </w:r>
    </w:p>
    <w:p w14:paraId="18DA75DE" w14:textId="77777777" w:rsidR="00F9023A" w:rsidRPr="00C020B8" w:rsidRDefault="00F9023A" w:rsidP="00F9023A">
      <w:pPr>
        <w:pStyle w:val="ListParagraph"/>
        <w:widowControl/>
        <w:numPr>
          <w:ilvl w:val="0"/>
          <w:numId w:val="36"/>
        </w:numPr>
        <w:tabs>
          <w:tab w:val="left" w:pos="426"/>
        </w:tabs>
        <w:adjustRightInd w:val="0"/>
        <w:contextualSpacing/>
      </w:pPr>
      <w:r w:rsidRPr="00C020B8">
        <w:t>Be competent in internal verification.</w:t>
      </w:r>
    </w:p>
    <w:p w14:paraId="0FE890F4" w14:textId="77777777" w:rsidR="00F9023A" w:rsidRPr="00C020B8" w:rsidRDefault="00F9023A" w:rsidP="00F9023A">
      <w:pPr>
        <w:pStyle w:val="ListParagraph"/>
        <w:widowControl/>
        <w:numPr>
          <w:ilvl w:val="0"/>
          <w:numId w:val="36"/>
        </w:numPr>
        <w:tabs>
          <w:tab w:val="left" w:pos="426"/>
        </w:tabs>
        <w:adjustRightInd w:val="0"/>
        <w:contextualSpacing/>
      </w:pPr>
      <w:r w:rsidRPr="00C020B8">
        <w:t>Have relevant occupational competence.</w:t>
      </w:r>
    </w:p>
    <w:p w14:paraId="680DA92B" w14:textId="77777777" w:rsidR="00F9023A" w:rsidRPr="00C020B8" w:rsidRDefault="00F9023A" w:rsidP="00F9023A">
      <w:pPr>
        <w:pStyle w:val="ListParagraph"/>
        <w:widowControl/>
        <w:numPr>
          <w:ilvl w:val="0"/>
          <w:numId w:val="36"/>
        </w:numPr>
        <w:tabs>
          <w:tab w:val="left" w:pos="426"/>
        </w:tabs>
        <w:adjustRightInd w:val="0"/>
        <w:contextualSpacing/>
        <w:rPr>
          <w:color w:val="000000" w:themeColor="text1"/>
        </w:rPr>
      </w:pPr>
      <w:r w:rsidRPr="00C020B8">
        <w:t>Have experience of working within t</w:t>
      </w:r>
      <w:r w:rsidRPr="00C020B8">
        <w:rPr>
          <w:color w:val="000000" w:themeColor="text1"/>
        </w:rPr>
        <w:t>he upstream energy industry.</w:t>
      </w:r>
    </w:p>
    <w:p w14:paraId="6F1FD03A" w14:textId="77777777" w:rsidR="00F9023A" w:rsidRPr="00C020B8" w:rsidRDefault="00F9023A" w:rsidP="00F9023A">
      <w:pPr>
        <w:tabs>
          <w:tab w:val="left" w:pos="426"/>
        </w:tabs>
        <w:adjustRightInd w:val="0"/>
        <w:rPr>
          <w:color w:val="000000" w:themeColor="text1"/>
        </w:rPr>
      </w:pPr>
    </w:p>
    <w:p w14:paraId="00E8693A" w14:textId="77777777" w:rsidR="00F9023A" w:rsidRPr="00C020B8" w:rsidRDefault="00F9023A" w:rsidP="00F9023A">
      <w:pPr>
        <w:tabs>
          <w:tab w:val="left" w:pos="426"/>
        </w:tabs>
        <w:adjustRightInd w:val="0"/>
      </w:pPr>
    </w:p>
    <w:p w14:paraId="6F1991B6" w14:textId="17BFC619" w:rsidR="00F9023A" w:rsidRPr="00C020B8" w:rsidRDefault="00F9023A" w:rsidP="00F9023A">
      <w:pPr>
        <w:adjustRightInd w:val="0"/>
      </w:pPr>
      <w:r w:rsidRPr="00C020B8">
        <w:t xml:space="preserve">In addition to the above requirements, </w:t>
      </w:r>
      <w:r w:rsidR="00844AC9" w:rsidRPr="00C020B8">
        <w:t>External Verifiers</w:t>
      </w:r>
      <w:r w:rsidR="00C020B8" w:rsidRPr="00C020B8">
        <w:t xml:space="preserve"> </w:t>
      </w:r>
      <w:r w:rsidRPr="00C020B8">
        <w:t>will also be required to:</w:t>
      </w:r>
    </w:p>
    <w:p w14:paraId="42F7E370" w14:textId="77777777" w:rsidR="00F9023A" w:rsidRPr="00C020B8" w:rsidRDefault="00F9023A" w:rsidP="00F9023A">
      <w:pPr>
        <w:adjustRightInd w:val="0"/>
      </w:pPr>
    </w:p>
    <w:p w14:paraId="3ADD097E" w14:textId="77777777" w:rsidR="00F9023A" w:rsidRPr="00C020B8" w:rsidRDefault="00F9023A" w:rsidP="00F9023A">
      <w:pPr>
        <w:pStyle w:val="ListParagraph"/>
        <w:widowControl/>
        <w:numPr>
          <w:ilvl w:val="0"/>
          <w:numId w:val="36"/>
        </w:numPr>
        <w:tabs>
          <w:tab w:val="left" w:pos="426"/>
        </w:tabs>
        <w:adjustRightInd w:val="0"/>
        <w:contextualSpacing/>
      </w:pPr>
      <w:r w:rsidRPr="00C020B8">
        <w:t>Participate in the approval of Approved Centres.</w:t>
      </w:r>
    </w:p>
    <w:p w14:paraId="4CC1FD64" w14:textId="20FD3AC8" w:rsidR="00F9023A" w:rsidRPr="00C020B8" w:rsidRDefault="00F9023A" w:rsidP="00F9023A">
      <w:pPr>
        <w:pStyle w:val="ListParagraph"/>
        <w:widowControl/>
        <w:numPr>
          <w:ilvl w:val="0"/>
          <w:numId w:val="36"/>
        </w:numPr>
        <w:tabs>
          <w:tab w:val="left" w:pos="426"/>
        </w:tabs>
        <w:adjustRightInd w:val="0"/>
        <w:contextualSpacing/>
      </w:pPr>
      <w:r w:rsidRPr="00C020B8">
        <w:t xml:space="preserve">Monitor Approved Centres’ performance and review </w:t>
      </w:r>
      <w:r w:rsidR="00CE36B9" w:rsidRPr="00C020B8">
        <w:t>Candidate</w:t>
      </w:r>
      <w:r w:rsidRPr="00C020B8">
        <w:t xml:space="preserve"> evidence across a representative sample of Assessors and Internal Verifiers.</w:t>
      </w:r>
    </w:p>
    <w:p w14:paraId="4922BE45" w14:textId="77777777" w:rsidR="00F9023A" w:rsidRPr="00C020B8" w:rsidRDefault="00F9023A" w:rsidP="00F9023A">
      <w:pPr>
        <w:widowControl/>
        <w:numPr>
          <w:ilvl w:val="0"/>
          <w:numId w:val="36"/>
        </w:numPr>
        <w:adjustRightInd w:val="0"/>
        <w:jc w:val="both"/>
      </w:pPr>
      <w:r w:rsidRPr="00C020B8">
        <w:t>Provide feedback, advice and support to Approved Centres.</w:t>
      </w:r>
    </w:p>
    <w:p w14:paraId="54EA27D8" w14:textId="5890FF8C" w:rsidR="00F9023A" w:rsidRPr="00C020B8" w:rsidRDefault="00F9023A" w:rsidP="00F9023A">
      <w:pPr>
        <w:pStyle w:val="ListParagraph"/>
        <w:widowControl/>
        <w:numPr>
          <w:ilvl w:val="0"/>
          <w:numId w:val="36"/>
        </w:numPr>
        <w:tabs>
          <w:tab w:val="left" w:pos="426"/>
        </w:tabs>
        <w:adjustRightInd w:val="0"/>
        <w:contextualSpacing/>
      </w:pPr>
      <w:r w:rsidRPr="00C020B8">
        <w:t>Review Approved Centres’ lists of Assessors, Internal Verifiers and External Witnesses who are involved in assessment and internal verification activities for each Standard</w:t>
      </w:r>
      <w:r w:rsidR="00C020B8" w:rsidRPr="00C020B8">
        <w:t xml:space="preserve"> </w:t>
      </w:r>
      <w:r w:rsidRPr="00C020B8">
        <w:t>on an annual basis.</w:t>
      </w:r>
    </w:p>
    <w:p w14:paraId="36076DF3" w14:textId="77777777" w:rsidR="00F9023A" w:rsidRPr="00C020B8" w:rsidRDefault="00F9023A" w:rsidP="00F9023A">
      <w:pPr>
        <w:tabs>
          <w:tab w:val="left" w:pos="426"/>
        </w:tabs>
        <w:adjustRightInd w:val="0"/>
      </w:pPr>
    </w:p>
    <w:p w14:paraId="4C5B1621" w14:textId="32284253" w:rsidR="00272767" w:rsidRPr="00C020B8" w:rsidRDefault="00F9023A" w:rsidP="00F9023A">
      <w:pPr>
        <w:pStyle w:val="BodyText"/>
      </w:pPr>
      <w:r w:rsidRPr="00C020B8">
        <w:t>External Verifier should maintain the currency of their skills and should participate in updates / training / Continuous Professional Development (CPD) activities – on a minimum of an annual basis.</w:t>
      </w:r>
    </w:p>
    <w:p w14:paraId="7C0592A6" w14:textId="77777777" w:rsidR="00570E9A" w:rsidRPr="00C020B8" w:rsidRDefault="00570E9A" w:rsidP="00570E9A">
      <w:pPr>
        <w:pStyle w:val="BodyText"/>
      </w:pPr>
    </w:p>
    <w:p w14:paraId="7CD7DAC5" w14:textId="2471755C" w:rsidR="00570E9A" w:rsidRPr="00C020B8" w:rsidRDefault="00570E9A" w:rsidP="00272767">
      <w:pPr>
        <w:spacing w:before="164"/>
        <w:rPr>
          <w:b/>
          <w:sz w:val="28"/>
          <w:szCs w:val="28"/>
        </w:rPr>
      </w:pPr>
      <w:r w:rsidRPr="00C020B8">
        <w:rPr>
          <w:b/>
          <w:sz w:val="28"/>
          <w:szCs w:val="28"/>
        </w:rPr>
        <w:t>Additional</w:t>
      </w:r>
    </w:p>
    <w:p w14:paraId="2E688A33" w14:textId="77777777" w:rsidR="00E435E7" w:rsidRPr="00C020B8" w:rsidRDefault="00E435E7" w:rsidP="00E435E7">
      <w:pPr>
        <w:jc w:val="both"/>
      </w:pPr>
    </w:p>
    <w:p w14:paraId="0C810291" w14:textId="4FA1E13A" w:rsidR="00E435E7" w:rsidRPr="00C020B8" w:rsidRDefault="00E435E7" w:rsidP="00E435E7">
      <w:pPr>
        <w:rPr>
          <w:rFonts w:eastAsiaTheme="majorEastAsia"/>
          <w:b/>
          <w:bCs/>
          <w:color w:val="4472C4" w:themeColor="accent1"/>
        </w:rPr>
      </w:pPr>
      <w:bookmarkStart w:id="61" w:name="_Toc130825259"/>
      <w:r w:rsidRPr="00C020B8">
        <w:rPr>
          <w:b/>
          <w:bCs/>
        </w:rPr>
        <w:t>Standardisation</w:t>
      </w:r>
      <w:bookmarkEnd w:id="61"/>
      <w:r w:rsidRPr="00C020B8">
        <w:rPr>
          <w:b/>
          <w:bCs/>
        </w:rPr>
        <w:t xml:space="preserve"> </w:t>
      </w:r>
    </w:p>
    <w:p w14:paraId="4C4C27DA" w14:textId="77777777" w:rsidR="00E435E7" w:rsidRPr="00C020B8" w:rsidRDefault="00E435E7" w:rsidP="00E435E7"/>
    <w:p w14:paraId="1AD7570A" w14:textId="77777777" w:rsidR="00727C72" w:rsidRPr="00C020B8" w:rsidRDefault="00727C72" w:rsidP="00727C72">
      <w:pPr>
        <w:jc w:val="both"/>
      </w:pPr>
      <w:r w:rsidRPr="00C020B8">
        <w:t>All assessments must undergo a standardisation process to ensure that they are valid, reliable, practicable, equitable and fair and that they can be delivered in a consistent way by all Assessors.</w:t>
      </w:r>
    </w:p>
    <w:p w14:paraId="5232D9DF" w14:textId="77777777" w:rsidR="00727C72" w:rsidRPr="00C020B8" w:rsidRDefault="00727C72" w:rsidP="00727C72">
      <w:pPr>
        <w:jc w:val="both"/>
      </w:pPr>
    </w:p>
    <w:p w14:paraId="03DD258B" w14:textId="77777777" w:rsidR="00727C72" w:rsidRPr="00C020B8" w:rsidRDefault="00727C72" w:rsidP="00727C72">
      <w:pPr>
        <w:jc w:val="both"/>
      </w:pPr>
      <w:r w:rsidRPr="00C020B8">
        <w:t>Regular standardisation activities should take place with all Assessors and Internal Verifiers to discuss the assessment process to ensure a consistent approach is being applied and to discuss any issues arising.</w:t>
      </w:r>
    </w:p>
    <w:p w14:paraId="55F5FDB1" w14:textId="77777777" w:rsidR="00727C72" w:rsidRPr="00C020B8" w:rsidRDefault="00727C72" w:rsidP="00727C72">
      <w:pPr>
        <w:jc w:val="both"/>
      </w:pPr>
    </w:p>
    <w:p w14:paraId="591251FB" w14:textId="77777777" w:rsidR="00727C72" w:rsidRPr="00C020B8" w:rsidRDefault="00727C72" w:rsidP="00727C72">
      <w:pPr>
        <w:jc w:val="both"/>
      </w:pPr>
      <w:r w:rsidRPr="00C020B8">
        <w:t>Typical Standardisation methods might include (but are not limited to):</w:t>
      </w:r>
    </w:p>
    <w:p w14:paraId="2EDFEC7E" w14:textId="74033EE0" w:rsidR="00727C72" w:rsidRPr="00C020B8" w:rsidRDefault="00727C72" w:rsidP="00727C72">
      <w:pPr>
        <w:widowControl/>
        <w:numPr>
          <w:ilvl w:val="0"/>
          <w:numId w:val="42"/>
        </w:numPr>
        <w:autoSpaceDE/>
        <w:autoSpaceDN/>
        <w:spacing w:before="120" w:after="120"/>
        <w:ind w:left="357" w:hanging="357"/>
        <w:jc w:val="both"/>
      </w:pPr>
      <w:r w:rsidRPr="00C020B8">
        <w:rPr>
          <w:b/>
          <w:bCs/>
        </w:rPr>
        <w:t xml:space="preserve">Agreement trials: </w:t>
      </w:r>
      <w:r w:rsidRPr="00C020B8">
        <w:t xml:space="preserve">Assessors work together to consider examples of </w:t>
      </w:r>
      <w:r w:rsidR="00CE36B9" w:rsidRPr="00C020B8">
        <w:t>Candidate</w:t>
      </w:r>
      <w:r w:rsidRPr="00C020B8">
        <w:t xml:space="preserve">s’ evidence.  By discussing discrepancies and coming to a shared understanding based on the evidence requirements, the Assessors reach a common understanding.  Involving Internal Verifiers is very helpful in achieving consensus. </w:t>
      </w:r>
    </w:p>
    <w:p w14:paraId="5F805D3C" w14:textId="4DA88509" w:rsidR="00727C72" w:rsidRPr="00C020B8" w:rsidRDefault="00727C72" w:rsidP="00727C72">
      <w:pPr>
        <w:widowControl/>
        <w:numPr>
          <w:ilvl w:val="0"/>
          <w:numId w:val="42"/>
        </w:numPr>
        <w:autoSpaceDE/>
        <w:autoSpaceDN/>
        <w:spacing w:before="120" w:after="120"/>
        <w:ind w:left="357" w:hanging="357"/>
        <w:jc w:val="both"/>
      </w:pPr>
      <w:r w:rsidRPr="00C020B8">
        <w:rPr>
          <w:b/>
          <w:bCs/>
        </w:rPr>
        <w:t xml:space="preserve">Dual assessment: </w:t>
      </w:r>
      <w:r w:rsidRPr="00C020B8">
        <w:t xml:space="preserve">Two Assessors assess the same </w:t>
      </w:r>
      <w:r w:rsidR="00CE36B9" w:rsidRPr="00C020B8">
        <w:t>Candidate</w:t>
      </w:r>
      <w:r w:rsidRPr="00C020B8">
        <w:t xml:space="preserve">s.  Teaming an experienced Assessor with a new Assessor is not uncommon, but there are benefits for any Assessor in checking their decisions, particularly for new Standard(s). It also encourages cooperative working. </w:t>
      </w:r>
    </w:p>
    <w:p w14:paraId="5A85C13A" w14:textId="7B4EACD1" w:rsidR="00727C72" w:rsidRPr="00C020B8" w:rsidRDefault="00727C72" w:rsidP="00727C72">
      <w:pPr>
        <w:widowControl/>
        <w:numPr>
          <w:ilvl w:val="0"/>
          <w:numId w:val="42"/>
        </w:numPr>
        <w:autoSpaceDE/>
        <w:autoSpaceDN/>
        <w:spacing w:before="120" w:after="120"/>
        <w:ind w:left="357" w:hanging="357"/>
        <w:jc w:val="both"/>
      </w:pPr>
      <w:r w:rsidRPr="00C020B8">
        <w:rPr>
          <w:b/>
          <w:bCs/>
        </w:rPr>
        <w:t xml:space="preserve">Cross assessment: </w:t>
      </w:r>
      <w:r w:rsidRPr="00C020B8">
        <w:t xml:space="preserve">Assessors exchange </w:t>
      </w:r>
      <w:r w:rsidR="00CE36B9" w:rsidRPr="00C020B8">
        <w:t>Candidate</w:t>
      </w:r>
      <w:r w:rsidRPr="00C020B8">
        <w:t xml:space="preserve"> evidence to check each other’s interpretation of the Standard. </w:t>
      </w:r>
    </w:p>
    <w:p w14:paraId="5852C6A1" w14:textId="46A5E16C" w:rsidR="00727C72" w:rsidRPr="00C020B8" w:rsidRDefault="00727C72" w:rsidP="00727C72">
      <w:pPr>
        <w:widowControl/>
        <w:numPr>
          <w:ilvl w:val="0"/>
          <w:numId w:val="14"/>
        </w:numPr>
        <w:autoSpaceDE/>
        <w:autoSpaceDN/>
        <w:spacing w:before="120" w:after="120"/>
        <w:ind w:left="357" w:hanging="357"/>
        <w:jc w:val="both"/>
      </w:pPr>
      <w:r w:rsidRPr="00C020B8">
        <w:rPr>
          <w:b/>
          <w:bCs/>
        </w:rPr>
        <w:lastRenderedPageBreak/>
        <w:t xml:space="preserve">Evidence review: </w:t>
      </w:r>
      <w:r w:rsidRPr="00C020B8">
        <w:t xml:space="preserve">Internal Verifier collates assessed </w:t>
      </w:r>
      <w:r w:rsidR="00CE36B9" w:rsidRPr="00C020B8">
        <w:t>Candidate</w:t>
      </w:r>
      <w:r w:rsidRPr="00C020B8">
        <w:t xml:space="preserve"> evidence and asks a group of Assessors to discuss any discrepancies between their individual </w:t>
      </w:r>
      <w:proofErr w:type="gramStart"/>
      <w:r w:rsidRPr="00C020B8">
        <w:t>decisions  This</w:t>
      </w:r>
      <w:proofErr w:type="gramEnd"/>
      <w:r w:rsidRPr="00C020B8">
        <w:t xml:space="preserve"> allows professional development as well as ensuring a shared understanding. </w:t>
      </w:r>
    </w:p>
    <w:p w14:paraId="7A9AF24A" w14:textId="77777777" w:rsidR="00727C72" w:rsidRPr="00C020B8" w:rsidRDefault="00727C72" w:rsidP="00727C72">
      <w:pPr>
        <w:pStyle w:val="Default"/>
        <w:jc w:val="both"/>
        <w:rPr>
          <w:rFonts w:ascii="Arial" w:hAnsi="Arial" w:cs="Arial"/>
          <w:color w:val="auto"/>
          <w:sz w:val="22"/>
          <w:szCs w:val="22"/>
        </w:rPr>
      </w:pPr>
    </w:p>
    <w:p w14:paraId="254DFEFD" w14:textId="77777777" w:rsidR="00727C72" w:rsidRPr="00C020B8" w:rsidRDefault="00727C72" w:rsidP="00727C72">
      <w:pPr>
        <w:pStyle w:val="Heading2"/>
        <w:rPr>
          <w:sz w:val="22"/>
          <w:szCs w:val="22"/>
        </w:rPr>
      </w:pPr>
      <w:bookmarkStart w:id="62" w:name="_Toc63247115"/>
      <w:bookmarkStart w:id="63" w:name="_Toc130825260"/>
      <w:r w:rsidRPr="00C020B8">
        <w:rPr>
          <w:sz w:val="22"/>
          <w:szCs w:val="22"/>
        </w:rPr>
        <w:t>Conflict of Interest</w:t>
      </w:r>
      <w:bookmarkEnd w:id="62"/>
      <w:bookmarkEnd w:id="63"/>
    </w:p>
    <w:p w14:paraId="3C3BFE5C" w14:textId="1119066A" w:rsidR="00727C72" w:rsidRPr="00C020B8" w:rsidRDefault="00727C72" w:rsidP="00727C72">
      <w:r w:rsidRPr="00C020B8">
        <w:t xml:space="preserve">All personnel involved in the assessment and verification process have a responsibility to make a declaration if they are related to, or have a personal relationship with, a </w:t>
      </w:r>
      <w:r w:rsidR="00CE36B9" w:rsidRPr="00C020B8">
        <w:t>Candidate</w:t>
      </w:r>
      <w:r w:rsidRPr="00C020B8">
        <w:t xml:space="preserve">, and are currently deployed to: </w:t>
      </w:r>
    </w:p>
    <w:p w14:paraId="6499F014" w14:textId="77777777" w:rsidR="00727C72" w:rsidRPr="00C020B8" w:rsidRDefault="00727C72" w:rsidP="00727C72"/>
    <w:p w14:paraId="009C153F" w14:textId="158C6C47" w:rsidR="00727C72" w:rsidRPr="00C020B8" w:rsidRDefault="00727C72" w:rsidP="00727C72">
      <w:pPr>
        <w:pStyle w:val="ListParagraph"/>
        <w:numPr>
          <w:ilvl w:val="0"/>
          <w:numId w:val="14"/>
        </w:numPr>
        <w:adjustRightInd w:val="0"/>
        <w:spacing w:after="100"/>
        <w:contextualSpacing/>
      </w:pPr>
      <w:r w:rsidRPr="00C020B8">
        <w:t xml:space="preserve">Set assessments which this </w:t>
      </w:r>
      <w:r w:rsidR="00CE36B9" w:rsidRPr="00C020B8">
        <w:t>Candidate</w:t>
      </w:r>
      <w:r w:rsidRPr="00C020B8">
        <w:t xml:space="preserve"> will undertake. </w:t>
      </w:r>
    </w:p>
    <w:p w14:paraId="7EE7CD87" w14:textId="550488AE" w:rsidR="00727C72" w:rsidRPr="00C020B8" w:rsidRDefault="00727C72" w:rsidP="00727C72">
      <w:pPr>
        <w:pStyle w:val="ListParagraph"/>
        <w:numPr>
          <w:ilvl w:val="0"/>
          <w:numId w:val="14"/>
        </w:numPr>
        <w:adjustRightInd w:val="0"/>
        <w:spacing w:after="100"/>
        <w:contextualSpacing/>
      </w:pPr>
      <w:r w:rsidRPr="00C020B8">
        <w:t>Make assessment decisions</w:t>
      </w:r>
      <w:r w:rsidR="00C020B8" w:rsidRPr="00C020B8">
        <w:t xml:space="preserve"> </w:t>
      </w:r>
      <w:r w:rsidRPr="00C020B8">
        <w:t xml:space="preserve">on this </w:t>
      </w:r>
      <w:r w:rsidR="00CE36B9" w:rsidRPr="00C020B8">
        <w:t>Candidate</w:t>
      </w:r>
      <w:r w:rsidRPr="00C020B8">
        <w:t xml:space="preserve">’s evidence. </w:t>
      </w:r>
    </w:p>
    <w:p w14:paraId="1DC4A45D" w14:textId="5B3C0331" w:rsidR="00727C72" w:rsidRPr="00C020B8" w:rsidRDefault="00727C72" w:rsidP="00727C72">
      <w:pPr>
        <w:pStyle w:val="ListParagraph"/>
        <w:numPr>
          <w:ilvl w:val="0"/>
          <w:numId w:val="14"/>
        </w:numPr>
        <w:adjustRightInd w:val="0"/>
        <w:spacing w:after="100"/>
        <w:contextualSpacing/>
      </w:pPr>
      <w:r w:rsidRPr="00C020B8">
        <w:t xml:space="preserve">Internally verify assessment decisions on this </w:t>
      </w:r>
      <w:r w:rsidR="00CE36B9" w:rsidRPr="00C020B8">
        <w:t>Candidate</w:t>
      </w:r>
      <w:r w:rsidRPr="00C020B8">
        <w:t xml:space="preserve">’s work. </w:t>
      </w:r>
    </w:p>
    <w:p w14:paraId="1BE24D98" w14:textId="1F7DDD16" w:rsidR="00727C72" w:rsidRPr="00C020B8" w:rsidRDefault="00727C72" w:rsidP="00727C72">
      <w:pPr>
        <w:pStyle w:val="ListParagraph"/>
        <w:numPr>
          <w:ilvl w:val="0"/>
          <w:numId w:val="14"/>
        </w:numPr>
        <w:adjustRightInd w:val="0"/>
        <w:spacing w:after="100"/>
        <w:contextualSpacing/>
      </w:pPr>
      <w:r w:rsidRPr="00C020B8">
        <w:t xml:space="preserve">Invigilate an assessment which this </w:t>
      </w:r>
      <w:r w:rsidR="00CE36B9" w:rsidRPr="00C020B8">
        <w:t>Candidate</w:t>
      </w:r>
      <w:r w:rsidRPr="00C020B8">
        <w:t xml:space="preserve"> is sitting. </w:t>
      </w:r>
    </w:p>
    <w:p w14:paraId="342296B5" w14:textId="77777777" w:rsidR="00E435E7" w:rsidRPr="00C020B8" w:rsidRDefault="00E435E7" w:rsidP="00E435E7"/>
    <w:p w14:paraId="131CFC1D" w14:textId="77777777" w:rsidR="00E435E7" w:rsidRPr="00C020B8" w:rsidRDefault="00E435E7" w:rsidP="00E435E7">
      <w:pPr>
        <w:pStyle w:val="Default"/>
        <w:jc w:val="both"/>
        <w:rPr>
          <w:rFonts w:ascii="Arial" w:hAnsi="Arial" w:cs="Arial"/>
          <w:sz w:val="22"/>
          <w:szCs w:val="22"/>
        </w:rPr>
      </w:pPr>
    </w:p>
    <w:p w14:paraId="46922965" w14:textId="77777777" w:rsidR="003A7DA7" w:rsidRPr="00C020B8" w:rsidRDefault="003A7DA7" w:rsidP="003A7DA7">
      <w:pPr>
        <w:pStyle w:val="Default"/>
        <w:jc w:val="both"/>
        <w:rPr>
          <w:rFonts w:ascii="Arial" w:hAnsi="Arial" w:cs="Arial"/>
          <w:b/>
          <w:bCs/>
          <w:color w:val="auto"/>
          <w:sz w:val="22"/>
          <w:szCs w:val="22"/>
        </w:rPr>
      </w:pPr>
      <w:r w:rsidRPr="00C020B8">
        <w:rPr>
          <w:rFonts w:ascii="Arial" w:hAnsi="Arial" w:cs="Arial"/>
          <w:b/>
          <w:bCs/>
          <w:color w:val="auto"/>
          <w:sz w:val="22"/>
          <w:szCs w:val="22"/>
        </w:rPr>
        <w:t>Briefing Guidelines for Expert Witnesses</w:t>
      </w:r>
    </w:p>
    <w:p w14:paraId="704ADA7C" w14:textId="77777777" w:rsidR="003A7DA7" w:rsidRPr="00C020B8" w:rsidRDefault="003A7DA7" w:rsidP="003A7DA7">
      <w:pPr>
        <w:pStyle w:val="Default"/>
        <w:jc w:val="both"/>
        <w:rPr>
          <w:rFonts w:ascii="Arial" w:hAnsi="Arial" w:cs="Arial"/>
          <w:color w:val="auto"/>
          <w:sz w:val="22"/>
          <w:szCs w:val="22"/>
        </w:rPr>
      </w:pPr>
    </w:p>
    <w:bookmarkEnd w:id="0"/>
    <w:p w14:paraId="598F22A5" w14:textId="29FC4FF5" w:rsidR="00450C19" w:rsidRPr="00C020B8" w:rsidRDefault="00450C19" w:rsidP="00450C19">
      <w:pPr>
        <w:jc w:val="both"/>
      </w:pPr>
      <w:r w:rsidRPr="00C020B8">
        <w:t xml:space="preserve">All Expert Witnesses must participate in a </w:t>
      </w:r>
      <w:proofErr w:type="gramStart"/>
      <w:r w:rsidRPr="00C020B8">
        <w:t>face to face</w:t>
      </w:r>
      <w:proofErr w:type="gramEnd"/>
      <w:r w:rsidRPr="00C020B8">
        <w:t xml:space="preserve"> briefing/coaching session to ensure that they are familiar with the Standard(s) being assessed and that they understand their role to observe the </w:t>
      </w:r>
      <w:r w:rsidR="00CE36B9" w:rsidRPr="00C020B8">
        <w:t>Candidate</w:t>
      </w:r>
      <w:r w:rsidRPr="00C020B8">
        <w:t xml:space="preserve"> and record observations and comments. </w:t>
      </w:r>
    </w:p>
    <w:p w14:paraId="6330F785" w14:textId="77777777" w:rsidR="00450C19" w:rsidRPr="00C020B8" w:rsidRDefault="00450C19" w:rsidP="00450C19">
      <w:pPr>
        <w:jc w:val="both"/>
      </w:pPr>
    </w:p>
    <w:p w14:paraId="68949283" w14:textId="77777777" w:rsidR="00450C19" w:rsidRPr="00C020B8" w:rsidRDefault="00450C19" w:rsidP="00450C19">
      <w:pPr>
        <w:jc w:val="both"/>
      </w:pPr>
      <w:r w:rsidRPr="00C020B8">
        <w:t xml:space="preserve">Briefings for Expert Witnesses should be conducted by an experienced Assessor or Internal Verifier.  </w:t>
      </w:r>
    </w:p>
    <w:p w14:paraId="26C5ACB1" w14:textId="77777777" w:rsidR="00450C19" w:rsidRPr="00C020B8" w:rsidRDefault="00450C19" w:rsidP="00450C19">
      <w:pPr>
        <w:jc w:val="both"/>
      </w:pPr>
    </w:p>
    <w:p w14:paraId="087EDADF" w14:textId="77777777" w:rsidR="00450C19" w:rsidRPr="00C020B8" w:rsidRDefault="00450C19" w:rsidP="00450C19">
      <w:pPr>
        <w:jc w:val="both"/>
      </w:pPr>
      <w:r w:rsidRPr="00C020B8">
        <w:t xml:space="preserve">As a minimum, the following key points must be covered in briefing/coaching sessions with Expert Witnesses. </w:t>
      </w:r>
    </w:p>
    <w:p w14:paraId="059F44F4" w14:textId="77777777" w:rsidR="00450C19" w:rsidRPr="00C020B8" w:rsidRDefault="00450C19" w:rsidP="00450C19">
      <w:pPr>
        <w:jc w:val="both"/>
      </w:pPr>
    </w:p>
    <w:p w14:paraId="4A24F0FF" w14:textId="6CA4412B" w:rsidR="00450C19" w:rsidRPr="00C020B8" w:rsidRDefault="00450C19" w:rsidP="00450C19">
      <w:pPr>
        <w:jc w:val="both"/>
        <w:rPr>
          <w:b/>
        </w:rPr>
      </w:pPr>
      <w:r w:rsidRPr="00C020B8">
        <w:rPr>
          <w:b/>
        </w:rPr>
        <w:t>Assessing competence against occupational Standard(s) within the Qualification</w:t>
      </w:r>
    </w:p>
    <w:p w14:paraId="063E54DC" w14:textId="77777777" w:rsidR="00450C19" w:rsidRPr="00C020B8" w:rsidRDefault="00450C19" w:rsidP="00450C19">
      <w:pPr>
        <w:pStyle w:val="ListParagraph"/>
        <w:widowControl/>
        <w:numPr>
          <w:ilvl w:val="0"/>
          <w:numId w:val="39"/>
        </w:numPr>
        <w:autoSpaceDE/>
        <w:autoSpaceDN/>
        <w:spacing w:before="120" w:after="120"/>
        <w:ind w:left="357" w:hanging="357"/>
        <w:jc w:val="both"/>
      </w:pPr>
      <w:r w:rsidRPr="00C020B8">
        <w:t xml:space="preserve">What does competence mean? </w:t>
      </w:r>
    </w:p>
    <w:p w14:paraId="204A36D1" w14:textId="02BCCC85" w:rsidR="00450C19" w:rsidRPr="00C020B8" w:rsidRDefault="00450C19" w:rsidP="00450C19">
      <w:pPr>
        <w:pStyle w:val="ListParagraph"/>
        <w:widowControl/>
        <w:numPr>
          <w:ilvl w:val="0"/>
          <w:numId w:val="39"/>
        </w:numPr>
        <w:autoSpaceDE/>
        <w:autoSpaceDN/>
        <w:spacing w:before="120" w:after="120"/>
        <w:ind w:left="357" w:hanging="357"/>
        <w:jc w:val="both"/>
      </w:pPr>
      <w:r w:rsidRPr="00C020B8">
        <w:t xml:space="preserve">What is a Standard? </w:t>
      </w:r>
    </w:p>
    <w:p w14:paraId="5A25C0EC" w14:textId="77777777" w:rsidR="00450C19" w:rsidRPr="00C020B8" w:rsidRDefault="00450C19" w:rsidP="00450C19">
      <w:pPr>
        <w:pStyle w:val="ListParagraph"/>
        <w:widowControl/>
        <w:numPr>
          <w:ilvl w:val="0"/>
          <w:numId w:val="39"/>
        </w:numPr>
        <w:autoSpaceDE/>
        <w:autoSpaceDN/>
        <w:spacing w:before="120" w:after="120"/>
        <w:ind w:left="357" w:hanging="357"/>
        <w:jc w:val="both"/>
      </w:pPr>
      <w:r w:rsidRPr="00C020B8">
        <w:t>What is a Qualification?</w:t>
      </w:r>
    </w:p>
    <w:p w14:paraId="75670522" w14:textId="6B188F67" w:rsidR="00450C19" w:rsidRPr="00C020B8" w:rsidRDefault="00450C19" w:rsidP="00450C19">
      <w:pPr>
        <w:pStyle w:val="ListParagraph"/>
        <w:widowControl/>
        <w:numPr>
          <w:ilvl w:val="0"/>
          <w:numId w:val="39"/>
        </w:numPr>
        <w:autoSpaceDE/>
        <w:autoSpaceDN/>
        <w:spacing w:before="120" w:after="120"/>
        <w:ind w:left="357" w:hanging="357"/>
        <w:jc w:val="both"/>
      </w:pPr>
      <w:r w:rsidRPr="00C020B8">
        <w:t>An overview of the specific Standards</w:t>
      </w:r>
      <w:r w:rsidR="00C020B8" w:rsidRPr="00C020B8">
        <w:rPr>
          <w:rStyle w:val="CommentReference"/>
          <w:sz w:val="22"/>
          <w:szCs w:val="22"/>
        </w:rPr>
        <w:t xml:space="preserve"> </w:t>
      </w:r>
      <w:r w:rsidRPr="00C020B8">
        <w:t xml:space="preserve">against which the </w:t>
      </w:r>
      <w:r w:rsidRPr="00C020B8">
        <w:rPr>
          <w:color w:val="000000" w:themeColor="text1"/>
        </w:rPr>
        <w:t xml:space="preserve">Expert Witness </w:t>
      </w:r>
      <w:r w:rsidRPr="00C020B8">
        <w:t>will conduct observations.</w:t>
      </w:r>
    </w:p>
    <w:p w14:paraId="0C3CDCAB" w14:textId="28425450" w:rsidR="00450C19" w:rsidRPr="00C020B8" w:rsidRDefault="00450C19" w:rsidP="00450C19">
      <w:pPr>
        <w:pStyle w:val="ListParagraph"/>
        <w:widowControl/>
        <w:numPr>
          <w:ilvl w:val="0"/>
          <w:numId w:val="39"/>
        </w:numPr>
        <w:autoSpaceDE/>
        <w:autoSpaceDN/>
        <w:spacing w:before="120" w:after="120"/>
        <w:ind w:left="357" w:hanging="357"/>
        <w:jc w:val="both"/>
      </w:pPr>
      <w:r w:rsidRPr="00C020B8">
        <w:t xml:space="preserve">How does assessment relate to the Standards? </w:t>
      </w:r>
    </w:p>
    <w:p w14:paraId="15EA5494" w14:textId="13A93823" w:rsidR="00450C19" w:rsidRPr="00C020B8" w:rsidRDefault="00450C19" w:rsidP="00450C19">
      <w:pPr>
        <w:pStyle w:val="ListParagraph"/>
        <w:widowControl/>
        <w:numPr>
          <w:ilvl w:val="0"/>
          <w:numId w:val="39"/>
        </w:numPr>
        <w:autoSpaceDE/>
        <w:autoSpaceDN/>
        <w:spacing w:before="120"/>
        <w:ind w:left="357" w:hanging="357"/>
        <w:jc w:val="both"/>
      </w:pPr>
      <w:r w:rsidRPr="00C020B8">
        <w:t xml:space="preserve">What are the specific requirements for observing on-the-job competences for the Standard(s) that the </w:t>
      </w:r>
      <w:r w:rsidR="00CE36B9" w:rsidRPr="00C020B8">
        <w:t>Candidate</w:t>
      </w:r>
      <w:r w:rsidRPr="00C020B8">
        <w:t xml:space="preserve"> is being assessed against?</w:t>
      </w:r>
    </w:p>
    <w:p w14:paraId="59BB7E0B" w14:textId="77777777" w:rsidR="00450C19" w:rsidRPr="00C020B8" w:rsidRDefault="00450C19" w:rsidP="00450C19">
      <w:pPr>
        <w:jc w:val="both"/>
      </w:pPr>
    </w:p>
    <w:p w14:paraId="08DF4264" w14:textId="77777777" w:rsidR="00450C19" w:rsidRPr="00C020B8" w:rsidRDefault="00450C19" w:rsidP="00450C19">
      <w:pPr>
        <w:jc w:val="both"/>
        <w:rPr>
          <w:b/>
        </w:rPr>
      </w:pPr>
      <w:r w:rsidRPr="00C020B8">
        <w:rPr>
          <w:b/>
        </w:rPr>
        <w:t xml:space="preserve">Carrying out observations </w:t>
      </w:r>
    </w:p>
    <w:p w14:paraId="7802BA5C" w14:textId="77777777" w:rsidR="00450C19" w:rsidRPr="00C020B8" w:rsidRDefault="00450C19" w:rsidP="00450C19">
      <w:pPr>
        <w:pStyle w:val="ListParagraph"/>
        <w:widowControl/>
        <w:numPr>
          <w:ilvl w:val="0"/>
          <w:numId w:val="40"/>
        </w:numPr>
        <w:autoSpaceDE/>
        <w:autoSpaceDN/>
        <w:spacing w:before="120" w:after="120"/>
        <w:ind w:left="357" w:hanging="357"/>
        <w:jc w:val="both"/>
      </w:pPr>
      <w:r w:rsidRPr="00C020B8">
        <w:t xml:space="preserve">What can be assessed by observation? </w:t>
      </w:r>
    </w:p>
    <w:p w14:paraId="1BB458EE" w14:textId="77777777" w:rsidR="00450C19" w:rsidRPr="00C020B8" w:rsidRDefault="00450C19" w:rsidP="00450C19">
      <w:pPr>
        <w:pStyle w:val="ListParagraph"/>
        <w:widowControl/>
        <w:numPr>
          <w:ilvl w:val="0"/>
          <w:numId w:val="40"/>
        </w:numPr>
        <w:autoSpaceDE/>
        <w:autoSpaceDN/>
        <w:spacing w:before="120" w:after="120"/>
        <w:ind w:left="357" w:hanging="357"/>
        <w:jc w:val="both"/>
      </w:pPr>
      <w:r w:rsidRPr="00C020B8">
        <w:t xml:space="preserve">How to prepare for observation. </w:t>
      </w:r>
    </w:p>
    <w:p w14:paraId="70C45F86" w14:textId="77777777" w:rsidR="00450C19" w:rsidRPr="00C020B8" w:rsidRDefault="00450C19" w:rsidP="00450C19">
      <w:pPr>
        <w:pStyle w:val="ListParagraph"/>
        <w:widowControl/>
        <w:numPr>
          <w:ilvl w:val="0"/>
          <w:numId w:val="40"/>
        </w:numPr>
        <w:autoSpaceDE/>
        <w:autoSpaceDN/>
        <w:spacing w:before="120"/>
        <w:ind w:left="357" w:hanging="357"/>
        <w:jc w:val="both"/>
      </w:pPr>
      <w:r w:rsidRPr="00C020B8">
        <w:t xml:space="preserve">Good practice during observations. </w:t>
      </w:r>
    </w:p>
    <w:p w14:paraId="3891994E" w14:textId="77777777" w:rsidR="00450C19" w:rsidRPr="00C020B8" w:rsidRDefault="00450C19" w:rsidP="00450C19">
      <w:pPr>
        <w:jc w:val="both"/>
      </w:pPr>
    </w:p>
    <w:p w14:paraId="44B32877" w14:textId="77777777" w:rsidR="00450C19" w:rsidRPr="00C020B8" w:rsidRDefault="00450C19" w:rsidP="00450C19">
      <w:pPr>
        <w:jc w:val="both"/>
        <w:rPr>
          <w:b/>
        </w:rPr>
      </w:pPr>
      <w:r w:rsidRPr="00C020B8">
        <w:rPr>
          <w:b/>
        </w:rPr>
        <w:t xml:space="preserve">Recording observations and providing supporting evidence </w:t>
      </w:r>
    </w:p>
    <w:p w14:paraId="282442FC" w14:textId="77777777" w:rsidR="00450C19" w:rsidRPr="00C020B8" w:rsidRDefault="00450C19" w:rsidP="00450C19">
      <w:pPr>
        <w:pStyle w:val="ListParagraph"/>
        <w:widowControl/>
        <w:numPr>
          <w:ilvl w:val="0"/>
          <w:numId w:val="41"/>
        </w:numPr>
        <w:autoSpaceDE/>
        <w:autoSpaceDN/>
        <w:spacing w:before="120" w:after="120"/>
        <w:ind w:left="357" w:hanging="357"/>
        <w:jc w:val="both"/>
      </w:pPr>
      <w:r w:rsidRPr="00C020B8">
        <w:t xml:space="preserve">Recording observations and comments. </w:t>
      </w:r>
    </w:p>
    <w:p w14:paraId="122A8AA7" w14:textId="6D43F42D" w:rsidR="00450C19" w:rsidRPr="00C020B8" w:rsidRDefault="00450C19" w:rsidP="00450C19">
      <w:pPr>
        <w:pStyle w:val="ListParagraph"/>
        <w:widowControl/>
        <w:numPr>
          <w:ilvl w:val="0"/>
          <w:numId w:val="41"/>
        </w:numPr>
        <w:autoSpaceDE/>
        <w:autoSpaceDN/>
        <w:spacing w:before="120" w:after="120"/>
        <w:ind w:left="357" w:hanging="357"/>
        <w:jc w:val="both"/>
      </w:pPr>
      <w:r w:rsidRPr="00C020B8">
        <w:t xml:space="preserve">Confirming that job paperwork is available and confirms the activities and that the paperwork can be attributed to the </w:t>
      </w:r>
      <w:r w:rsidR="00CE36B9" w:rsidRPr="00C020B8">
        <w:t>Candidate</w:t>
      </w:r>
      <w:r w:rsidRPr="00C020B8">
        <w:t xml:space="preserve">. </w:t>
      </w:r>
    </w:p>
    <w:p w14:paraId="0515D8A0" w14:textId="5C888071" w:rsidR="00450C19" w:rsidRPr="00C020B8" w:rsidRDefault="00450C19" w:rsidP="00450C19">
      <w:pPr>
        <w:pStyle w:val="ListParagraph"/>
        <w:widowControl/>
        <w:numPr>
          <w:ilvl w:val="0"/>
          <w:numId w:val="41"/>
        </w:numPr>
        <w:autoSpaceDE/>
        <w:autoSpaceDN/>
        <w:spacing w:before="120"/>
        <w:ind w:left="357" w:hanging="357"/>
        <w:jc w:val="both"/>
      </w:pPr>
      <w:r w:rsidRPr="00C020B8">
        <w:lastRenderedPageBreak/>
        <w:t xml:space="preserve">Providing a clear recommendation to the Assessor on the </w:t>
      </w:r>
      <w:r w:rsidR="00CE36B9" w:rsidRPr="00C020B8">
        <w:t>Candidate</w:t>
      </w:r>
      <w:r w:rsidRPr="00C020B8">
        <w:t>’s performance and ability to carry out the task/activity.</w:t>
      </w:r>
    </w:p>
    <w:p w14:paraId="1379E0F0" w14:textId="77777777" w:rsidR="00570E9A" w:rsidRDefault="00570E9A" w:rsidP="00570E9A">
      <w:pPr>
        <w:pStyle w:val="BodyText"/>
        <w:rPr>
          <w:sz w:val="24"/>
        </w:rPr>
      </w:pPr>
    </w:p>
    <w:sectPr w:rsidR="00570E9A">
      <w:headerReference w:type="default" r:id="rId18"/>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C6980" w14:textId="77777777" w:rsidR="00B82845" w:rsidRDefault="00B82845">
      <w:r>
        <w:separator/>
      </w:r>
    </w:p>
  </w:endnote>
  <w:endnote w:type="continuationSeparator" w:id="0">
    <w:p w14:paraId="38A85CAD" w14:textId="77777777" w:rsidR="00B82845" w:rsidRDefault="00B8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3BD4" w14:textId="77777777" w:rsidR="0084235E" w:rsidRDefault="00187B1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63B2336" wp14:editId="15C6C1E3">
              <wp:simplePos x="0" y="0"/>
              <wp:positionH relativeFrom="page">
                <wp:posOffset>609601</wp:posOffset>
              </wp:positionH>
              <wp:positionV relativeFrom="page">
                <wp:posOffset>9896475</wp:posOffset>
              </wp:positionV>
              <wp:extent cx="3289300" cy="314325"/>
              <wp:effectExtent l="0" t="0" r="6350" b="9525"/>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70FB" w14:textId="6D345654" w:rsidR="0084235E" w:rsidRDefault="00017CA5" w:rsidP="00CA2BE5">
                          <w:pPr>
                            <w:pStyle w:val="BodyText"/>
                            <w:spacing w:before="13"/>
                            <w:ind w:left="60"/>
                            <w:jc w:val="both"/>
                          </w:pPr>
                          <w:r>
                            <w:t>Approved by ACG 12/06/2024</w:t>
                          </w:r>
                        </w:p>
                        <w:p w14:paraId="72FBF031" w14:textId="77777777" w:rsidR="00017CA5" w:rsidRDefault="00017CA5" w:rsidP="00CA2BE5">
                          <w:pPr>
                            <w:pStyle w:val="BodyText"/>
                            <w:spacing w:before="13"/>
                            <w:ind w:left="6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2336" id="_x0000_t202" coordsize="21600,21600" o:spt="202" path="m,l,21600r21600,l21600,xe">
              <v:stroke joinstyle="miter"/>
              <v:path gradientshapeok="t" o:connecttype="rect"/>
            </v:shapetype>
            <v:shape id="Text Box 1" o:spid="_x0000_s1026" type="#_x0000_t202" alt="&quot;&quot;" style="position:absolute;margin-left:48pt;margin-top:779.25pt;width:259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" filled="f" stroked="f">
              <v:textbox inset="0,0,0,0">
                <w:txbxContent>
                  <w:p w14:paraId="0E9F70FB" w14:textId="6D345654" w:rsidR="0084235E" w:rsidRDefault="00017CA5" w:rsidP="00CA2BE5">
                    <w:pPr>
                      <w:pStyle w:val="BodyText"/>
                      <w:spacing w:before="13"/>
                      <w:ind w:left="60"/>
                      <w:jc w:val="both"/>
                    </w:pPr>
                    <w:r>
                      <w:t>Approved by ACG 12/06/2024</w:t>
                    </w:r>
                  </w:p>
                  <w:p w14:paraId="72FBF031" w14:textId="77777777" w:rsidR="00017CA5" w:rsidRDefault="00017CA5" w:rsidP="00CA2BE5">
                    <w:pPr>
                      <w:pStyle w:val="BodyText"/>
                      <w:spacing w:before="13"/>
                      <w:ind w:left="60"/>
                      <w:jc w:val="both"/>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8305" w14:textId="7074D2DF" w:rsidR="0035647A" w:rsidRDefault="00D911B4" w:rsidP="0035647A">
    <w:pPr>
      <w:pStyle w:val="BodyText"/>
      <w:spacing w:before="13"/>
      <w:ind w:left="60"/>
      <w:jc w:val="both"/>
    </w:pPr>
    <w:r>
      <w:t>Approved at ACG 12/06/2024</w:t>
    </w:r>
  </w:p>
  <w:p w14:paraId="4F642A8D" w14:textId="77777777" w:rsidR="00E435E7" w:rsidRDefault="00E435E7" w:rsidP="00667EF8">
    <w:pPr>
      <w:pStyle w:val="Footer"/>
    </w:pPr>
    <w:r>
      <w:tab/>
    </w:r>
    <w:sdt>
      <w:sdtPr>
        <w:id w:val="-215123308"/>
        <w:docPartObj>
          <w:docPartGallery w:val="Page Numbers (Bottom of Page)"/>
          <w:docPartUnique/>
        </w:docPartObj>
      </w:sdtPr>
      <w:sdtEndPr/>
      <w:sdtContent>
        <w:sdt>
          <w:sdtPr>
            <w:id w:val="-1669238322"/>
            <w:docPartObj>
              <w:docPartGallery w:val="Page Numbers (Top of Page)"/>
              <w:docPartUnique/>
            </w:docPartObj>
          </w:sdtPr>
          <w:sdtEndPr/>
          <w:sdtContent>
            <w:r>
              <w:tab/>
            </w:r>
            <w:r>
              <w:fldChar w:fldCharType="begin"/>
            </w:r>
            <w:r>
              <w:instrText xml:space="preserve"> PAGE   \* MERGEFORMAT </w:instrText>
            </w:r>
            <w:r>
              <w:fldChar w:fldCharType="separate"/>
            </w:r>
            <w:r>
              <w:rPr>
                <w:noProof/>
              </w:rPr>
              <w:t>1</w:t>
            </w:r>
            <w:r>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25A" w14:textId="77777777" w:rsidR="00E435E7" w:rsidRDefault="00E435E7">
    <w:pPr>
      <w:pStyle w:val="Footer"/>
      <w:jc w:val="center"/>
    </w:pPr>
  </w:p>
  <w:p w14:paraId="24A8AEF6" w14:textId="77777777" w:rsidR="00E435E7" w:rsidRDefault="00E435E7" w:rsidP="00ED4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383" w14:textId="77777777" w:rsidR="00B82845" w:rsidRDefault="00B82845">
      <w:r>
        <w:separator/>
      </w:r>
    </w:p>
  </w:footnote>
  <w:footnote w:type="continuationSeparator" w:id="0">
    <w:p w14:paraId="012FEF57" w14:textId="77777777" w:rsidR="00B82845" w:rsidRDefault="00B8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D381" w14:textId="77777777" w:rsidR="003A7DA7" w:rsidRDefault="003A7DA7" w:rsidP="003A7DA7">
    <w:pPr>
      <w:pStyle w:val="Header"/>
      <w:pBdr>
        <w:between w:val="single" w:sz="4" w:space="1" w:color="4472C4" w:themeColor="accent1"/>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728"/>
    <w:multiLevelType w:val="hybridMultilevel"/>
    <w:tmpl w:val="CF349EA4"/>
    <w:lvl w:ilvl="0" w:tplc="FFFFFFFF">
      <w:start w:val="1"/>
      <w:numFmt w:val="bullet"/>
      <w:lvlText w:val=""/>
      <w:lvlJc w:val="left"/>
      <w:pPr>
        <w:ind w:left="720" w:hanging="360"/>
      </w:pPr>
      <w:rPr>
        <w:rFonts w:ascii="Symbol" w:hAnsi="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792C"/>
    <w:multiLevelType w:val="hybridMultilevel"/>
    <w:tmpl w:val="BFEEB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70E79"/>
    <w:multiLevelType w:val="hybridMultilevel"/>
    <w:tmpl w:val="C4EAC4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8FC6333"/>
    <w:multiLevelType w:val="hybridMultilevel"/>
    <w:tmpl w:val="BE9E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396305"/>
    <w:multiLevelType w:val="hybridMultilevel"/>
    <w:tmpl w:val="03D2C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E6ADA"/>
    <w:multiLevelType w:val="hybridMultilevel"/>
    <w:tmpl w:val="1CB0E8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C95434"/>
    <w:multiLevelType w:val="hybridMultilevel"/>
    <w:tmpl w:val="30A80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9A03DD"/>
    <w:multiLevelType w:val="hybridMultilevel"/>
    <w:tmpl w:val="D96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635BF"/>
    <w:multiLevelType w:val="hybridMultilevel"/>
    <w:tmpl w:val="38A8F6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A74463"/>
    <w:multiLevelType w:val="hybridMultilevel"/>
    <w:tmpl w:val="82D47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05616B"/>
    <w:multiLevelType w:val="hybridMultilevel"/>
    <w:tmpl w:val="04FA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B618C"/>
    <w:multiLevelType w:val="hybridMultilevel"/>
    <w:tmpl w:val="E79A9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5D6D39"/>
    <w:multiLevelType w:val="hybridMultilevel"/>
    <w:tmpl w:val="F8DE2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4B2700"/>
    <w:multiLevelType w:val="hybridMultilevel"/>
    <w:tmpl w:val="B97C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744BED"/>
    <w:multiLevelType w:val="hybridMultilevel"/>
    <w:tmpl w:val="023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85423F"/>
    <w:multiLevelType w:val="hybridMultilevel"/>
    <w:tmpl w:val="3FBC6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97251D"/>
    <w:multiLevelType w:val="hybridMultilevel"/>
    <w:tmpl w:val="074C3B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4AD435D"/>
    <w:multiLevelType w:val="hybridMultilevel"/>
    <w:tmpl w:val="17C2A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782B7B"/>
    <w:multiLevelType w:val="hybridMultilevel"/>
    <w:tmpl w:val="8F70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B10E6"/>
    <w:multiLevelType w:val="hybridMultilevel"/>
    <w:tmpl w:val="E040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A31410"/>
    <w:multiLevelType w:val="hybridMultilevel"/>
    <w:tmpl w:val="B9F44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4502B20"/>
    <w:multiLevelType w:val="hybridMultilevel"/>
    <w:tmpl w:val="644E9AF4"/>
    <w:lvl w:ilvl="0" w:tplc="FE20CD4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35D270CD"/>
    <w:multiLevelType w:val="hybridMultilevel"/>
    <w:tmpl w:val="77F8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1C7CA8"/>
    <w:multiLevelType w:val="hybridMultilevel"/>
    <w:tmpl w:val="D5743D9A"/>
    <w:lvl w:ilvl="0" w:tplc="0809000D">
      <w:start w:val="1"/>
      <w:numFmt w:val="bullet"/>
      <w:lvlText w:val=""/>
      <w:lvlJc w:val="left"/>
      <w:pPr>
        <w:ind w:left="720" w:hanging="360"/>
      </w:pPr>
      <w:rPr>
        <w:rFonts w:ascii="Wingdings" w:hAnsi="Wingdings" w:hint="default"/>
      </w:rPr>
    </w:lvl>
    <w:lvl w:ilvl="1" w:tplc="2A988E16">
      <w:numFmt w:val="bullet"/>
      <w:lvlText w:val="•"/>
      <w:lvlJc w:val="left"/>
      <w:pPr>
        <w:ind w:left="1800" w:hanging="720"/>
      </w:pPr>
      <w:rPr>
        <w:rFonts w:ascii="Calibri" w:eastAsia="Times New Roman" w:hAnsi="Calibri" w:cs="Calibri" w:hint="default"/>
      </w:rPr>
    </w:lvl>
    <w:lvl w:ilvl="2" w:tplc="B58C4AC8">
      <w:numFmt w:val="bullet"/>
      <w:lvlText w:val="−"/>
      <w:lvlJc w:val="left"/>
      <w:pPr>
        <w:ind w:left="2520" w:hanging="72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BFB3FF5"/>
    <w:multiLevelType w:val="hybridMultilevel"/>
    <w:tmpl w:val="CEEE0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D97FE8"/>
    <w:multiLevelType w:val="hybridMultilevel"/>
    <w:tmpl w:val="55FAF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F57630"/>
    <w:multiLevelType w:val="hybridMultilevel"/>
    <w:tmpl w:val="AC2EF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9E586A"/>
    <w:multiLevelType w:val="multilevel"/>
    <w:tmpl w:val="62E45C7E"/>
    <w:lvl w:ilvl="0">
      <w:start w:val="3"/>
      <w:numFmt w:val="decimal"/>
      <w:lvlText w:val="%1"/>
      <w:lvlJc w:val="left"/>
      <w:pPr>
        <w:ind w:left="530" w:hanging="530"/>
      </w:pPr>
      <w:rPr>
        <w:rFonts w:hint="default"/>
      </w:rPr>
    </w:lvl>
    <w:lvl w:ilvl="1">
      <w:start w:val="2"/>
      <w:numFmt w:val="decimal"/>
      <w:lvlText w:val="%1.%2"/>
      <w:lvlJc w:val="left"/>
      <w:pPr>
        <w:ind w:left="6201"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07064A"/>
    <w:multiLevelType w:val="hybridMultilevel"/>
    <w:tmpl w:val="D444DFCC"/>
    <w:lvl w:ilvl="0" w:tplc="40C2AA3A">
      <w:numFmt w:val="bullet"/>
      <w:lvlText w:val=""/>
      <w:lvlJc w:val="left"/>
      <w:pPr>
        <w:ind w:left="1025" w:hanging="360"/>
      </w:pPr>
      <w:rPr>
        <w:rFonts w:ascii="Symbol" w:eastAsia="Symbol" w:hAnsi="Symbol" w:cs="Symbol" w:hint="default"/>
        <w:w w:val="100"/>
        <w:sz w:val="23"/>
        <w:szCs w:val="23"/>
        <w:lang w:val="en-GB" w:eastAsia="en-GB" w:bidi="en-GB"/>
      </w:rPr>
    </w:lvl>
    <w:lvl w:ilvl="1" w:tplc="14FC56A2">
      <w:numFmt w:val="bullet"/>
      <w:lvlText w:val="•"/>
      <w:lvlJc w:val="left"/>
      <w:pPr>
        <w:ind w:left="1890" w:hanging="360"/>
      </w:pPr>
      <w:rPr>
        <w:rFonts w:hint="default"/>
        <w:lang w:val="en-GB" w:eastAsia="en-GB" w:bidi="en-GB"/>
      </w:rPr>
    </w:lvl>
    <w:lvl w:ilvl="2" w:tplc="03183312">
      <w:numFmt w:val="bullet"/>
      <w:lvlText w:val="•"/>
      <w:lvlJc w:val="left"/>
      <w:pPr>
        <w:ind w:left="2761" w:hanging="360"/>
      </w:pPr>
      <w:rPr>
        <w:rFonts w:hint="default"/>
        <w:lang w:val="en-GB" w:eastAsia="en-GB" w:bidi="en-GB"/>
      </w:rPr>
    </w:lvl>
    <w:lvl w:ilvl="3" w:tplc="8F0AE366">
      <w:numFmt w:val="bullet"/>
      <w:lvlText w:val="•"/>
      <w:lvlJc w:val="left"/>
      <w:pPr>
        <w:ind w:left="3631" w:hanging="360"/>
      </w:pPr>
      <w:rPr>
        <w:rFonts w:hint="default"/>
        <w:lang w:val="en-GB" w:eastAsia="en-GB" w:bidi="en-GB"/>
      </w:rPr>
    </w:lvl>
    <w:lvl w:ilvl="4" w:tplc="77A43F46">
      <w:numFmt w:val="bullet"/>
      <w:lvlText w:val="•"/>
      <w:lvlJc w:val="left"/>
      <w:pPr>
        <w:ind w:left="4502" w:hanging="360"/>
      </w:pPr>
      <w:rPr>
        <w:rFonts w:hint="default"/>
        <w:lang w:val="en-GB" w:eastAsia="en-GB" w:bidi="en-GB"/>
      </w:rPr>
    </w:lvl>
    <w:lvl w:ilvl="5" w:tplc="E5080408">
      <w:numFmt w:val="bullet"/>
      <w:lvlText w:val="•"/>
      <w:lvlJc w:val="left"/>
      <w:pPr>
        <w:ind w:left="5373" w:hanging="360"/>
      </w:pPr>
      <w:rPr>
        <w:rFonts w:hint="default"/>
        <w:lang w:val="en-GB" w:eastAsia="en-GB" w:bidi="en-GB"/>
      </w:rPr>
    </w:lvl>
    <w:lvl w:ilvl="6" w:tplc="075811EE">
      <w:numFmt w:val="bullet"/>
      <w:lvlText w:val="•"/>
      <w:lvlJc w:val="left"/>
      <w:pPr>
        <w:ind w:left="6243" w:hanging="360"/>
      </w:pPr>
      <w:rPr>
        <w:rFonts w:hint="default"/>
        <w:lang w:val="en-GB" w:eastAsia="en-GB" w:bidi="en-GB"/>
      </w:rPr>
    </w:lvl>
    <w:lvl w:ilvl="7" w:tplc="3078DBB2">
      <w:numFmt w:val="bullet"/>
      <w:lvlText w:val="•"/>
      <w:lvlJc w:val="left"/>
      <w:pPr>
        <w:ind w:left="7114" w:hanging="360"/>
      </w:pPr>
      <w:rPr>
        <w:rFonts w:hint="default"/>
        <w:lang w:val="en-GB" w:eastAsia="en-GB" w:bidi="en-GB"/>
      </w:rPr>
    </w:lvl>
    <w:lvl w:ilvl="8" w:tplc="D7881B08">
      <w:numFmt w:val="bullet"/>
      <w:lvlText w:val="•"/>
      <w:lvlJc w:val="left"/>
      <w:pPr>
        <w:ind w:left="7985" w:hanging="360"/>
      </w:pPr>
      <w:rPr>
        <w:rFonts w:hint="default"/>
        <w:lang w:val="en-GB" w:eastAsia="en-GB" w:bidi="en-GB"/>
      </w:rPr>
    </w:lvl>
  </w:abstractNum>
  <w:abstractNum w:abstractNumId="30" w15:restartNumberingAfterBreak="0">
    <w:nsid w:val="48F4078A"/>
    <w:multiLevelType w:val="hybridMultilevel"/>
    <w:tmpl w:val="C66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26AEA"/>
    <w:multiLevelType w:val="hybridMultilevel"/>
    <w:tmpl w:val="5BC4C672"/>
    <w:lvl w:ilvl="0" w:tplc="08090001">
      <w:start w:val="1"/>
      <w:numFmt w:val="bullet"/>
      <w:lvlText w:val=""/>
      <w:lvlJc w:val="left"/>
      <w:pPr>
        <w:ind w:left="720" w:hanging="360"/>
      </w:pPr>
      <w:rPr>
        <w:rFonts w:ascii="Symbol" w:hAnsi="Symbol" w:hint="default"/>
      </w:rPr>
    </w:lvl>
    <w:lvl w:ilvl="1" w:tplc="9DB2363E">
      <w:start w:val="3"/>
      <w:numFmt w:val="bullet"/>
      <w:lvlText w:val="•"/>
      <w:lvlJc w:val="left"/>
      <w:pPr>
        <w:ind w:left="1440" w:hanging="360"/>
      </w:pPr>
      <w:rPr>
        <w:rFonts w:ascii="Calibri" w:eastAsiaTheme="minorHAnsi" w:hAnsi="Calibri" w:cs="Calibri" w:hint="default"/>
      </w:rPr>
    </w:lvl>
    <w:lvl w:ilvl="2" w:tplc="A1A4B3AE">
      <w:start w:val="1"/>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760EAC"/>
    <w:multiLevelType w:val="hybridMultilevel"/>
    <w:tmpl w:val="43AA4BF4"/>
    <w:lvl w:ilvl="0" w:tplc="FE20CD4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0563A7F"/>
    <w:multiLevelType w:val="hybridMultilevel"/>
    <w:tmpl w:val="D4E26C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B66FCE"/>
    <w:multiLevelType w:val="hybridMultilevel"/>
    <w:tmpl w:val="1BD87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4A71A1"/>
    <w:multiLevelType w:val="hybridMultilevel"/>
    <w:tmpl w:val="AD9817CA"/>
    <w:lvl w:ilvl="0" w:tplc="19E49C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DC49AB"/>
    <w:multiLevelType w:val="hybridMultilevel"/>
    <w:tmpl w:val="C812C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C94E44"/>
    <w:multiLevelType w:val="hybridMultilevel"/>
    <w:tmpl w:val="A04056C8"/>
    <w:lvl w:ilvl="0" w:tplc="FE20CD4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5B842F8C"/>
    <w:multiLevelType w:val="hybridMultilevel"/>
    <w:tmpl w:val="B456C7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C66248"/>
    <w:multiLevelType w:val="hybridMultilevel"/>
    <w:tmpl w:val="B97C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903C78"/>
    <w:multiLevelType w:val="hybridMultilevel"/>
    <w:tmpl w:val="EE4A2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E8742E"/>
    <w:multiLevelType w:val="hybridMultilevel"/>
    <w:tmpl w:val="D150A78E"/>
    <w:lvl w:ilvl="0" w:tplc="FE20CD4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7FB2BB9"/>
    <w:multiLevelType w:val="hybridMultilevel"/>
    <w:tmpl w:val="3FBC6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202495">
    <w:abstractNumId w:val="28"/>
  </w:num>
  <w:num w:numId="2" w16cid:durableId="1429348344">
    <w:abstractNumId w:val="0"/>
  </w:num>
  <w:num w:numId="3" w16cid:durableId="142744269">
    <w:abstractNumId w:val="29"/>
  </w:num>
  <w:num w:numId="4" w16cid:durableId="250353134">
    <w:abstractNumId w:val="43"/>
  </w:num>
  <w:num w:numId="5" w16cid:durableId="1353989677">
    <w:abstractNumId w:val="8"/>
  </w:num>
  <w:num w:numId="6" w16cid:durableId="1547720821">
    <w:abstractNumId w:val="30"/>
  </w:num>
  <w:num w:numId="7" w16cid:durableId="1261252779">
    <w:abstractNumId w:val="5"/>
  </w:num>
  <w:num w:numId="8" w16cid:durableId="918909444">
    <w:abstractNumId w:val="38"/>
  </w:num>
  <w:num w:numId="9" w16cid:durableId="842470889">
    <w:abstractNumId w:val="20"/>
  </w:num>
  <w:num w:numId="10" w16cid:durableId="586501319">
    <w:abstractNumId w:val="41"/>
  </w:num>
  <w:num w:numId="11" w16cid:durableId="199781415">
    <w:abstractNumId w:val="22"/>
  </w:num>
  <w:num w:numId="12" w16cid:durableId="961155576">
    <w:abstractNumId w:val="37"/>
  </w:num>
  <w:num w:numId="13" w16cid:durableId="1797527753">
    <w:abstractNumId w:val="32"/>
  </w:num>
  <w:num w:numId="14" w16cid:durableId="495922852">
    <w:abstractNumId w:val="13"/>
  </w:num>
  <w:num w:numId="15" w16cid:durableId="267079834">
    <w:abstractNumId w:val="1"/>
  </w:num>
  <w:num w:numId="16" w16cid:durableId="1871449527">
    <w:abstractNumId w:val="26"/>
  </w:num>
  <w:num w:numId="17" w16cid:durableId="1975480455">
    <w:abstractNumId w:val="6"/>
  </w:num>
  <w:num w:numId="18" w16cid:durableId="1073695303">
    <w:abstractNumId w:val="24"/>
  </w:num>
  <w:num w:numId="19" w16cid:durableId="1847328857">
    <w:abstractNumId w:val="4"/>
  </w:num>
  <w:num w:numId="20" w16cid:durableId="53890894">
    <w:abstractNumId w:val="18"/>
  </w:num>
  <w:num w:numId="21" w16cid:durableId="1076395546">
    <w:abstractNumId w:val="36"/>
  </w:num>
  <w:num w:numId="22" w16cid:durableId="989594737">
    <w:abstractNumId w:val="25"/>
  </w:num>
  <w:num w:numId="23" w16cid:durableId="401754163">
    <w:abstractNumId w:val="3"/>
  </w:num>
  <w:num w:numId="24" w16cid:durableId="210269323">
    <w:abstractNumId w:val="42"/>
  </w:num>
  <w:num w:numId="25" w16cid:durableId="2106729542">
    <w:abstractNumId w:val="33"/>
  </w:num>
  <w:num w:numId="26" w16cid:durableId="908684871">
    <w:abstractNumId w:val="39"/>
  </w:num>
  <w:num w:numId="27" w16cid:durableId="976295662">
    <w:abstractNumId w:val="15"/>
  </w:num>
  <w:num w:numId="28" w16cid:durableId="1112045574">
    <w:abstractNumId w:val="34"/>
  </w:num>
  <w:num w:numId="29" w16cid:durableId="1307399256">
    <w:abstractNumId w:val="31"/>
  </w:num>
  <w:num w:numId="30" w16cid:durableId="1653018476">
    <w:abstractNumId w:val="40"/>
  </w:num>
  <w:num w:numId="31" w16cid:durableId="1928803006">
    <w:abstractNumId w:val="9"/>
  </w:num>
  <w:num w:numId="32" w16cid:durableId="1813017339">
    <w:abstractNumId w:val="35"/>
  </w:num>
  <w:num w:numId="33" w16cid:durableId="1687555144">
    <w:abstractNumId w:val="14"/>
  </w:num>
  <w:num w:numId="34" w16cid:durableId="2106610129">
    <w:abstractNumId w:val="2"/>
  </w:num>
  <w:num w:numId="35" w16cid:durableId="1806583340">
    <w:abstractNumId w:val="17"/>
  </w:num>
  <w:num w:numId="36" w16cid:durableId="1245072446">
    <w:abstractNumId w:val="21"/>
  </w:num>
  <w:num w:numId="37" w16cid:durableId="470632392">
    <w:abstractNumId w:val="19"/>
  </w:num>
  <w:num w:numId="38" w16cid:durableId="73019508">
    <w:abstractNumId w:val="11"/>
  </w:num>
  <w:num w:numId="39" w16cid:durableId="775029608">
    <w:abstractNumId w:val="12"/>
  </w:num>
  <w:num w:numId="40" w16cid:durableId="1657881498">
    <w:abstractNumId w:val="27"/>
  </w:num>
  <w:num w:numId="41" w16cid:durableId="1650476488">
    <w:abstractNumId w:val="7"/>
  </w:num>
  <w:num w:numId="42" w16cid:durableId="1487672406">
    <w:abstractNumId w:val="10"/>
  </w:num>
  <w:num w:numId="43" w16cid:durableId="1726415372">
    <w:abstractNumId w:val="23"/>
  </w:num>
  <w:num w:numId="44" w16cid:durableId="11538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9A"/>
    <w:rsid w:val="00017CA5"/>
    <w:rsid w:val="00026557"/>
    <w:rsid w:val="0004544D"/>
    <w:rsid w:val="000523E6"/>
    <w:rsid w:val="000564BA"/>
    <w:rsid w:val="00071C2B"/>
    <w:rsid w:val="00084D7F"/>
    <w:rsid w:val="00086C6C"/>
    <w:rsid w:val="000D0C34"/>
    <w:rsid w:val="001064FA"/>
    <w:rsid w:val="00131E50"/>
    <w:rsid w:val="00140FDB"/>
    <w:rsid w:val="00155881"/>
    <w:rsid w:val="00156254"/>
    <w:rsid w:val="00187B12"/>
    <w:rsid w:val="001F7034"/>
    <w:rsid w:val="00233AD5"/>
    <w:rsid w:val="002634BF"/>
    <w:rsid w:val="002710E2"/>
    <w:rsid w:val="00272767"/>
    <w:rsid w:val="002A4B31"/>
    <w:rsid w:val="002B4EA0"/>
    <w:rsid w:val="002C10D9"/>
    <w:rsid w:val="002D6F6C"/>
    <w:rsid w:val="003113B7"/>
    <w:rsid w:val="0035647A"/>
    <w:rsid w:val="00371F4E"/>
    <w:rsid w:val="003919E1"/>
    <w:rsid w:val="003A7DA7"/>
    <w:rsid w:val="003D0099"/>
    <w:rsid w:val="003D30E2"/>
    <w:rsid w:val="003E7BAD"/>
    <w:rsid w:val="0040061A"/>
    <w:rsid w:val="00450C19"/>
    <w:rsid w:val="00486869"/>
    <w:rsid w:val="004967CC"/>
    <w:rsid w:val="004A6752"/>
    <w:rsid w:val="004D21B9"/>
    <w:rsid w:val="004F7304"/>
    <w:rsid w:val="00535403"/>
    <w:rsid w:val="00540721"/>
    <w:rsid w:val="00570E9A"/>
    <w:rsid w:val="005977EB"/>
    <w:rsid w:val="005F1B96"/>
    <w:rsid w:val="00632199"/>
    <w:rsid w:val="006708D7"/>
    <w:rsid w:val="00671E03"/>
    <w:rsid w:val="00694A6F"/>
    <w:rsid w:val="0069653C"/>
    <w:rsid w:val="006B54F5"/>
    <w:rsid w:val="006C0F7D"/>
    <w:rsid w:val="006C4CA9"/>
    <w:rsid w:val="006E426D"/>
    <w:rsid w:val="006F462D"/>
    <w:rsid w:val="00727C72"/>
    <w:rsid w:val="00761F17"/>
    <w:rsid w:val="007F02CD"/>
    <w:rsid w:val="00816689"/>
    <w:rsid w:val="008261FB"/>
    <w:rsid w:val="008345B9"/>
    <w:rsid w:val="008421CB"/>
    <w:rsid w:val="0084235E"/>
    <w:rsid w:val="00844AC9"/>
    <w:rsid w:val="008A0669"/>
    <w:rsid w:val="008C3E8C"/>
    <w:rsid w:val="00906473"/>
    <w:rsid w:val="00921C3A"/>
    <w:rsid w:val="00944F5D"/>
    <w:rsid w:val="00974BAC"/>
    <w:rsid w:val="009C372E"/>
    <w:rsid w:val="009D189B"/>
    <w:rsid w:val="009D199D"/>
    <w:rsid w:val="009F0B5A"/>
    <w:rsid w:val="00A32C1A"/>
    <w:rsid w:val="00A72328"/>
    <w:rsid w:val="00A8584D"/>
    <w:rsid w:val="00A9543A"/>
    <w:rsid w:val="00AA6AA4"/>
    <w:rsid w:val="00AF31B6"/>
    <w:rsid w:val="00B01C77"/>
    <w:rsid w:val="00B229EB"/>
    <w:rsid w:val="00B22A7B"/>
    <w:rsid w:val="00B82845"/>
    <w:rsid w:val="00B9537C"/>
    <w:rsid w:val="00BB0A68"/>
    <w:rsid w:val="00BB4B6F"/>
    <w:rsid w:val="00BC03F0"/>
    <w:rsid w:val="00C020B8"/>
    <w:rsid w:val="00C04195"/>
    <w:rsid w:val="00C171FF"/>
    <w:rsid w:val="00C226EA"/>
    <w:rsid w:val="00C23920"/>
    <w:rsid w:val="00C85C5C"/>
    <w:rsid w:val="00CA24A4"/>
    <w:rsid w:val="00CA2BE5"/>
    <w:rsid w:val="00CE36B9"/>
    <w:rsid w:val="00CF5DE3"/>
    <w:rsid w:val="00D22699"/>
    <w:rsid w:val="00D6522C"/>
    <w:rsid w:val="00D911B4"/>
    <w:rsid w:val="00DA5A4A"/>
    <w:rsid w:val="00DA7BF9"/>
    <w:rsid w:val="00E0196C"/>
    <w:rsid w:val="00E06789"/>
    <w:rsid w:val="00E3022C"/>
    <w:rsid w:val="00E3393F"/>
    <w:rsid w:val="00E418E8"/>
    <w:rsid w:val="00E435E7"/>
    <w:rsid w:val="00E72BC7"/>
    <w:rsid w:val="00E7458C"/>
    <w:rsid w:val="00E83DB6"/>
    <w:rsid w:val="00E84A01"/>
    <w:rsid w:val="00EB3566"/>
    <w:rsid w:val="00F01250"/>
    <w:rsid w:val="00F22BBA"/>
    <w:rsid w:val="00F3261A"/>
    <w:rsid w:val="00F3705E"/>
    <w:rsid w:val="00F9023A"/>
    <w:rsid w:val="00F91C20"/>
    <w:rsid w:val="00FC567C"/>
    <w:rsid w:val="00FC6BC3"/>
    <w:rsid w:val="00FF2CCB"/>
    <w:rsid w:val="00FF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34F85"/>
  <w15:chartTrackingRefBased/>
  <w15:docId w15:val="{BEEE9879-5012-40DE-BEDA-BAD99227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E9A"/>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570E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70E9A"/>
    <w:pPr>
      <w:ind w:left="1025" w:hanging="721"/>
      <w:outlineLvl w:val="1"/>
    </w:pPr>
    <w:rPr>
      <w:b/>
      <w:bCs/>
      <w:sz w:val="28"/>
      <w:szCs w:val="28"/>
    </w:rPr>
  </w:style>
  <w:style w:type="paragraph" w:styleId="Heading3">
    <w:name w:val="heading 3"/>
    <w:basedOn w:val="Normal"/>
    <w:link w:val="Heading3Char"/>
    <w:uiPriority w:val="9"/>
    <w:unhideWhenUsed/>
    <w:qFormat/>
    <w:rsid w:val="00570E9A"/>
    <w:pPr>
      <w:ind w:left="906" w:hanging="602"/>
      <w:outlineLvl w:val="2"/>
    </w:pPr>
    <w:rPr>
      <w:b/>
      <w:bCs/>
      <w:sz w:val="24"/>
      <w:szCs w:val="24"/>
    </w:rPr>
  </w:style>
  <w:style w:type="paragraph" w:styleId="Heading4">
    <w:name w:val="heading 4"/>
    <w:basedOn w:val="Normal"/>
    <w:next w:val="Normal"/>
    <w:link w:val="Heading4Char"/>
    <w:uiPriority w:val="9"/>
    <w:semiHidden/>
    <w:unhideWhenUsed/>
    <w:qFormat/>
    <w:rsid w:val="00570E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E9A"/>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570E9A"/>
    <w:rPr>
      <w:rFonts w:ascii="Arial" w:eastAsia="Arial" w:hAnsi="Arial" w:cs="Arial"/>
      <w:b/>
      <w:bCs/>
      <w:sz w:val="24"/>
      <w:szCs w:val="24"/>
      <w:lang w:eastAsia="en-GB" w:bidi="en-GB"/>
    </w:rPr>
  </w:style>
  <w:style w:type="paragraph" w:styleId="BodyText">
    <w:name w:val="Body Text"/>
    <w:basedOn w:val="Normal"/>
    <w:link w:val="BodyTextChar"/>
    <w:uiPriority w:val="1"/>
    <w:qFormat/>
    <w:rsid w:val="00570E9A"/>
  </w:style>
  <w:style w:type="character" w:customStyle="1" w:styleId="BodyTextChar">
    <w:name w:val="Body Text Char"/>
    <w:basedOn w:val="DefaultParagraphFont"/>
    <w:link w:val="BodyText"/>
    <w:uiPriority w:val="1"/>
    <w:rsid w:val="00570E9A"/>
    <w:rPr>
      <w:rFonts w:ascii="Arial" w:eastAsia="Arial" w:hAnsi="Arial" w:cs="Arial"/>
      <w:lang w:eastAsia="en-GB" w:bidi="en-GB"/>
    </w:rPr>
  </w:style>
  <w:style w:type="paragraph" w:styleId="ListParagraph">
    <w:name w:val="List Paragraph"/>
    <w:basedOn w:val="Normal"/>
    <w:uiPriority w:val="34"/>
    <w:qFormat/>
    <w:rsid w:val="00570E9A"/>
    <w:pPr>
      <w:ind w:left="662" w:hanging="358"/>
    </w:pPr>
  </w:style>
  <w:style w:type="character" w:customStyle="1" w:styleId="Heading1Char">
    <w:name w:val="Heading 1 Char"/>
    <w:basedOn w:val="DefaultParagraphFont"/>
    <w:link w:val="Heading1"/>
    <w:uiPriority w:val="9"/>
    <w:rsid w:val="00570E9A"/>
    <w:rPr>
      <w:rFonts w:asciiTheme="majorHAnsi" w:eastAsiaTheme="majorEastAsia" w:hAnsiTheme="majorHAnsi" w:cstheme="majorBidi"/>
      <w:color w:val="2F5496" w:themeColor="accent1" w:themeShade="BF"/>
      <w:sz w:val="32"/>
      <w:szCs w:val="32"/>
      <w:lang w:eastAsia="en-GB" w:bidi="en-GB"/>
    </w:rPr>
  </w:style>
  <w:style w:type="character" w:customStyle="1" w:styleId="Heading4Char">
    <w:name w:val="Heading 4 Char"/>
    <w:basedOn w:val="DefaultParagraphFont"/>
    <w:link w:val="Heading4"/>
    <w:uiPriority w:val="9"/>
    <w:semiHidden/>
    <w:rsid w:val="00570E9A"/>
    <w:rPr>
      <w:rFonts w:asciiTheme="majorHAnsi" w:eastAsiaTheme="majorEastAsia" w:hAnsiTheme="majorHAnsi" w:cstheme="majorBidi"/>
      <w:i/>
      <w:iCs/>
      <w:color w:val="2F5496" w:themeColor="accent1" w:themeShade="BF"/>
      <w:lang w:eastAsia="en-GB" w:bidi="en-GB"/>
    </w:rPr>
  </w:style>
  <w:style w:type="paragraph" w:customStyle="1" w:styleId="TableParagraph">
    <w:name w:val="Table Paragraph"/>
    <w:basedOn w:val="Normal"/>
    <w:uiPriority w:val="1"/>
    <w:qFormat/>
    <w:rsid w:val="00570E9A"/>
  </w:style>
  <w:style w:type="character" w:styleId="CommentReference">
    <w:name w:val="annotation reference"/>
    <w:basedOn w:val="DefaultParagraphFont"/>
    <w:uiPriority w:val="99"/>
    <w:semiHidden/>
    <w:unhideWhenUsed/>
    <w:rsid w:val="00570E9A"/>
    <w:rPr>
      <w:sz w:val="16"/>
      <w:szCs w:val="16"/>
    </w:rPr>
  </w:style>
  <w:style w:type="paragraph" w:styleId="CommentText">
    <w:name w:val="annotation text"/>
    <w:basedOn w:val="Normal"/>
    <w:link w:val="CommentTextChar"/>
    <w:uiPriority w:val="99"/>
    <w:unhideWhenUsed/>
    <w:rsid w:val="00570E9A"/>
    <w:rPr>
      <w:sz w:val="20"/>
      <w:szCs w:val="20"/>
    </w:rPr>
  </w:style>
  <w:style w:type="character" w:customStyle="1" w:styleId="CommentTextChar">
    <w:name w:val="Comment Text Char"/>
    <w:basedOn w:val="DefaultParagraphFont"/>
    <w:link w:val="CommentText"/>
    <w:uiPriority w:val="99"/>
    <w:rsid w:val="00570E9A"/>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CA24A4"/>
    <w:rPr>
      <w:b/>
      <w:bCs/>
    </w:rPr>
  </w:style>
  <w:style w:type="character" w:customStyle="1" w:styleId="CommentSubjectChar">
    <w:name w:val="Comment Subject Char"/>
    <w:basedOn w:val="CommentTextChar"/>
    <w:link w:val="CommentSubject"/>
    <w:uiPriority w:val="99"/>
    <w:semiHidden/>
    <w:rsid w:val="00CA24A4"/>
    <w:rPr>
      <w:rFonts w:ascii="Arial" w:eastAsia="Arial" w:hAnsi="Arial" w:cs="Arial"/>
      <w:b/>
      <w:bCs/>
      <w:sz w:val="20"/>
      <w:szCs w:val="20"/>
      <w:lang w:eastAsia="en-GB" w:bidi="en-GB"/>
    </w:rPr>
  </w:style>
  <w:style w:type="paragraph" w:customStyle="1" w:styleId="Default">
    <w:name w:val="Default"/>
    <w:rsid w:val="00486869"/>
    <w:pPr>
      <w:autoSpaceDE w:val="0"/>
      <w:autoSpaceDN w:val="0"/>
      <w:adjustRightInd w:val="0"/>
      <w:spacing w:after="0" w:line="240" w:lineRule="auto"/>
    </w:pPr>
    <w:rPr>
      <w:rFonts w:ascii="Segoe UI" w:hAnsi="Segoe UI" w:cs="Segoe UI"/>
      <w:color w:val="000000"/>
      <w:sz w:val="24"/>
      <w:szCs w:val="24"/>
    </w:rPr>
  </w:style>
  <w:style w:type="table" w:styleId="TableGrid">
    <w:name w:val="Table Grid"/>
    <w:basedOn w:val="TableNormal"/>
    <w:uiPriority w:val="59"/>
    <w:rsid w:val="00AA6AA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BE5"/>
    <w:pPr>
      <w:tabs>
        <w:tab w:val="center" w:pos="4513"/>
        <w:tab w:val="right" w:pos="9026"/>
      </w:tabs>
    </w:pPr>
  </w:style>
  <w:style w:type="character" w:customStyle="1" w:styleId="HeaderChar">
    <w:name w:val="Header Char"/>
    <w:basedOn w:val="DefaultParagraphFont"/>
    <w:link w:val="Header"/>
    <w:uiPriority w:val="99"/>
    <w:rsid w:val="00CA2BE5"/>
    <w:rPr>
      <w:rFonts w:ascii="Arial" w:eastAsia="Arial" w:hAnsi="Arial" w:cs="Arial"/>
      <w:lang w:eastAsia="en-GB" w:bidi="en-GB"/>
    </w:rPr>
  </w:style>
  <w:style w:type="paragraph" w:styleId="Footer">
    <w:name w:val="footer"/>
    <w:basedOn w:val="Normal"/>
    <w:link w:val="FooterChar"/>
    <w:uiPriority w:val="99"/>
    <w:unhideWhenUsed/>
    <w:rsid w:val="00CA2BE5"/>
    <w:pPr>
      <w:tabs>
        <w:tab w:val="center" w:pos="4513"/>
        <w:tab w:val="right" w:pos="9026"/>
      </w:tabs>
    </w:pPr>
  </w:style>
  <w:style w:type="character" w:customStyle="1" w:styleId="FooterChar">
    <w:name w:val="Footer Char"/>
    <w:basedOn w:val="DefaultParagraphFont"/>
    <w:link w:val="Footer"/>
    <w:uiPriority w:val="99"/>
    <w:rsid w:val="00CA2BE5"/>
    <w:rPr>
      <w:rFonts w:ascii="Arial" w:eastAsia="Arial" w:hAnsi="Arial" w:cs="Arial"/>
      <w:lang w:eastAsia="en-GB" w:bidi="en-GB"/>
    </w:rPr>
  </w:style>
  <w:style w:type="paragraph" w:styleId="BalloonText">
    <w:name w:val="Balloon Text"/>
    <w:basedOn w:val="Normal"/>
    <w:link w:val="BalloonTextChar"/>
    <w:uiPriority w:val="99"/>
    <w:semiHidden/>
    <w:unhideWhenUsed/>
    <w:rsid w:val="00C171FF"/>
    <w:pPr>
      <w:widowControl/>
      <w:autoSpaceDE/>
      <w:autoSpaceDN/>
    </w:pPr>
    <w:rPr>
      <w:rFonts w:ascii="Tahoma" w:eastAsiaTheme="minorHAnsi" w:hAnsi="Tahoma" w:cs="Tahoma"/>
      <w:sz w:val="16"/>
      <w:szCs w:val="16"/>
      <w:lang w:eastAsia="en-US" w:bidi="ar-SA"/>
    </w:rPr>
  </w:style>
  <w:style w:type="character" w:customStyle="1" w:styleId="BalloonTextChar">
    <w:name w:val="Balloon Text Char"/>
    <w:basedOn w:val="DefaultParagraphFont"/>
    <w:link w:val="BalloonText"/>
    <w:uiPriority w:val="99"/>
    <w:semiHidden/>
    <w:rsid w:val="00C17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7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132B01-21B4-490E-997C-A9634A287C4C}" type="doc">
      <dgm:prSet loTypeId="urn:microsoft.com/office/officeart/2005/8/layout/target1" loCatId="relationship" qsTypeId="urn:microsoft.com/office/officeart/2005/8/quickstyle/3d1" qsCatId="3D" csTypeId="urn:microsoft.com/office/officeart/2005/8/colors/accent1_4" csCatId="accent1" phldr="1"/>
      <dgm:spPr/>
    </dgm:pt>
    <dgm:pt modelId="{F6DB2984-1BA2-4CF1-9E0B-E07B98F4A490}">
      <dgm:prSet phldrT="[Text]" custT="1"/>
      <dgm:spPr>
        <a:xfrm>
          <a:off x="4047013" y="0"/>
          <a:ext cx="2001367" cy="695378"/>
        </a:xfrm>
        <a:noFill/>
        <a:ln>
          <a:noFill/>
        </a:ln>
        <a:effectLst/>
      </dgm:spPr>
      <dgm:t>
        <a:bodyPr/>
        <a:lstStyle/>
        <a:p>
          <a:r>
            <a:rPr lang="en-GB" sz="1100" b="1">
              <a:solidFill>
                <a:sysClr val="windowText" lastClr="000000">
                  <a:hueOff val="0"/>
                  <a:satOff val="0"/>
                  <a:lumOff val="0"/>
                  <a:alphaOff val="0"/>
                </a:sysClr>
              </a:solidFill>
              <a:latin typeface="Calibri"/>
              <a:ea typeface="+mn-ea"/>
              <a:cs typeface="+mn-cs"/>
            </a:rPr>
            <a:t>Candidate</a:t>
          </a:r>
          <a:r>
            <a:rPr lang="en-GB" sz="1100">
              <a:solidFill>
                <a:sysClr val="windowText" lastClr="000000">
                  <a:hueOff val="0"/>
                  <a:satOff val="0"/>
                  <a:lumOff val="0"/>
                  <a:alphaOff val="0"/>
                </a:sysClr>
              </a:solidFill>
              <a:latin typeface="Calibri"/>
              <a:ea typeface="+mn-ea"/>
              <a:cs typeface="+mn-cs"/>
            </a:rPr>
            <a:t> must demonstrate competence </a:t>
          </a:r>
        </a:p>
      </dgm:t>
      <dgm:extLst>
        <a:ext uri="{E40237B7-FDA0-4F09-8148-C483321AD2D9}">
          <dgm14:cNvPr xmlns:dgm14="http://schemas.microsoft.com/office/drawing/2010/diagram" id="0" name="" descr="Target diagram of roles and responsibilities in assessment and quality assurance. Candidates are at the centre of the target, assessors around candidates, internal verifiers around assessors and awarding body/audit organisation around internal verifiers."/>
        </a:ext>
      </dgm:extLst>
    </dgm:pt>
    <dgm:pt modelId="{A2932B5C-B0A1-4143-B046-71063B9E198D}" type="parTrans" cxnId="{D20B42EA-7A87-4FAF-8F0D-B40205F1F2A5}">
      <dgm:prSet/>
      <dgm:spPr/>
      <dgm:t>
        <a:bodyPr/>
        <a:lstStyle/>
        <a:p>
          <a:endParaRPr lang="en-GB"/>
        </a:p>
      </dgm:t>
    </dgm:pt>
    <dgm:pt modelId="{A3291091-E29C-493B-AE0A-36273174685E}" type="sibTrans" cxnId="{D20B42EA-7A87-4FAF-8F0D-B40205F1F2A5}">
      <dgm:prSet/>
      <dgm:spPr/>
      <dgm:t>
        <a:bodyPr/>
        <a:lstStyle/>
        <a:p>
          <a:endParaRPr lang="en-GB"/>
        </a:p>
      </dgm:t>
    </dgm:pt>
    <dgm:pt modelId="{E5DD0FAE-8D92-476F-8F42-CB494D5163DC}">
      <dgm:prSet phldrT="[Text]" custT="1"/>
      <dgm:spPr>
        <a:xfrm>
          <a:off x="4042841" y="695378"/>
          <a:ext cx="2149039" cy="695378"/>
        </a:xfrm>
        <a:noFill/>
        <a:ln>
          <a:noFill/>
        </a:ln>
        <a:effectLst/>
      </dgm:spPr>
      <dgm:t>
        <a:bodyPr/>
        <a:lstStyle/>
        <a:p>
          <a:r>
            <a:rPr lang="en-GB" sz="1100" b="1">
              <a:solidFill>
                <a:sysClr val="windowText" lastClr="000000">
                  <a:hueOff val="0"/>
                  <a:satOff val="0"/>
                  <a:lumOff val="0"/>
                  <a:alphaOff val="0"/>
                </a:sysClr>
              </a:solidFill>
              <a:latin typeface="Calibri"/>
              <a:ea typeface="+mn-ea"/>
              <a:cs typeface="+mn-cs"/>
            </a:rPr>
            <a:t>Assessor </a:t>
          </a:r>
          <a:r>
            <a:rPr lang="en-GB" sz="1100" b="0">
              <a:solidFill>
                <a:sysClr val="windowText" lastClr="000000">
                  <a:hueOff val="0"/>
                  <a:satOff val="0"/>
                  <a:lumOff val="0"/>
                  <a:alphaOff val="0"/>
                </a:sysClr>
              </a:solidFill>
              <a:latin typeface="Calibri"/>
              <a:ea typeface="+mn-ea"/>
              <a:cs typeface="+mn-cs"/>
            </a:rPr>
            <a:t>assesses evidence and </a:t>
          </a:r>
          <a:r>
            <a:rPr lang="en-GB" sz="1100">
              <a:solidFill>
                <a:sysClr val="windowText" lastClr="000000">
                  <a:hueOff val="0"/>
                  <a:satOff val="0"/>
                  <a:lumOff val="0"/>
                  <a:alphaOff val="0"/>
                </a:sysClr>
              </a:solidFill>
              <a:latin typeface="Calibri"/>
              <a:ea typeface="+mn-ea"/>
              <a:cs typeface="+mn-cs"/>
            </a:rPr>
            <a:t>makes judgement on competence of Candidate</a:t>
          </a:r>
        </a:p>
      </dgm:t>
    </dgm:pt>
    <dgm:pt modelId="{CF2DD7C8-02BD-44F0-8EEB-2BE78539C10A}" type="parTrans" cxnId="{E5492C4B-3593-4E55-9891-03D1E36D8A1C}">
      <dgm:prSet/>
      <dgm:spPr/>
      <dgm:t>
        <a:bodyPr/>
        <a:lstStyle/>
        <a:p>
          <a:endParaRPr lang="en-GB"/>
        </a:p>
      </dgm:t>
    </dgm:pt>
    <dgm:pt modelId="{4A3BF0F0-6FDE-42E6-A280-212B81E34EBB}" type="sibTrans" cxnId="{E5492C4B-3593-4E55-9891-03D1E36D8A1C}">
      <dgm:prSet/>
      <dgm:spPr/>
      <dgm:t>
        <a:bodyPr/>
        <a:lstStyle/>
        <a:p>
          <a:endParaRPr lang="en-GB"/>
        </a:p>
      </dgm:t>
    </dgm:pt>
    <dgm:pt modelId="{C7155BFF-38EF-430D-913D-6C877E60D8DF}">
      <dgm:prSet phldrT="[Text]" custT="1"/>
      <dgm:spPr>
        <a:xfrm>
          <a:off x="4035041" y="1409810"/>
          <a:ext cx="2013331" cy="695378"/>
        </a:xfrm>
        <a:noFill/>
        <a:ln>
          <a:noFill/>
        </a:ln>
        <a:effectLst/>
      </dgm:spPr>
      <dgm:t>
        <a:bodyPr/>
        <a:lstStyle/>
        <a:p>
          <a:r>
            <a:rPr lang="en-GB" sz="1100" b="1">
              <a:solidFill>
                <a:sysClr val="windowText" lastClr="000000">
                  <a:hueOff val="0"/>
                  <a:satOff val="0"/>
                  <a:lumOff val="0"/>
                  <a:alphaOff val="0"/>
                </a:sysClr>
              </a:solidFill>
              <a:latin typeface="Calibri"/>
              <a:ea typeface="+mn-ea"/>
              <a:cs typeface="+mn-cs"/>
            </a:rPr>
            <a:t>Internal Verifier </a:t>
          </a:r>
          <a:r>
            <a:rPr lang="en-GB" sz="1100">
              <a:solidFill>
                <a:sysClr val="windowText" lastClr="000000">
                  <a:hueOff val="0"/>
                  <a:satOff val="0"/>
                  <a:lumOff val="0"/>
                  <a:alphaOff val="0"/>
                </a:sysClr>
              </a:solidFill>
              <a:latin typeface="Calibri"/>
              <a:ea typeface="+mn-ea"/>
              <a:cs typeface="+mn-cs"/>
            </a:rPr>
            <a:t>ensures quality and consistency of assessment process</a:t>
          </a:r>
        </a:p>
      </dgm:t>
    </dgm:pt>
    <dgm:pt modelId="{2A125D6A-1746-42BF-9C0B-DE5EC9CDECE6}" type="parTrans" cxnId="{309B6812-F87A-43D0-9C3F-B6BB22E3AA80}">
      <dgm:prSet/>
      <dgm:spPr/>
      <dgm:t>
        <a:bodyPr/>
        <a:lstStyle/>
        <a:p>
          <a:endParaRPr lang="en-GB"/>
        </a:p>
      </dgm:t>
    </dgm:pt>
    <dgm:pt modelId="{4BCDE06F-2087-426A-916E-EBB50C079208}" type="sibTrans" cxnId="{309B6812-F87A-43D0-9C3F-B6BB22E3AA80}">
      <dgm:prSet/>
      <dgm:spPr/>
      <dgm:t>
        <a:bodyPr/>
        <a:lstStyle/>
        <a:p>
          <a:endParaRPr lang="en-GB"/>
        </a:p>
      </dgm:t>
    </dgm:pt>
    <dgm:pt modelId="{48ABBE0E-B3B5-4CA9-BCA9-203229B6738E}">
      <dgm:prSet custT="1"/>
      <dgm:spPr>
        <a:xfrm>
          <a:off x="4035049" y="2181388"/>
          <a:ext cx="2070478" cy="695378"/>
        </a:xfrm>
        <a:noFill/>
        <a:ln>
          <a:noFill/>
        </a:ln>
        <a:effectLst/>
      </dgm:spPr>
      <dgm:t>
        <a:bodyPr/>
        <a:lstStyle/>
        <a:p>
          <a:r>
            <a:rPr lang="en-GB" sz="1100" b="1">
              <a:solidFill>
                <a:sysClr val="windowText" lastClr="000000">
                  <a:hueOff val="0"/>
                  <a:satOff val="0"/>
                  <a:lumOff val="0"/>
                  <a:alphaOff val="0"/>
                </a:sysClr>
              </a:solidFill>
              <a:latin typeface="Calibri"/>
              <a:ea typeface="+mn-ea"/>
              <a:cs typeface="+mn-cs"/>
            </a:rPr>
            <a:t>Awarding Body/Audit Organisation </a:t>
          </a:r>
          <a:r>
            <a:rPr lang="en-GB" sz="1100">
              <a:solidFill>
                <a:sysClr val="windowText" lastClr="000000">
                  <a:hueOff val="0"/>
                  <a:satOff val="0"/>
                  <a:lumOff val="0"/>
                  <a:alphaOff val="0"/>
                </a:sysClr>
              </a:solidFill>
              <a:latin typeface="Calibri"/>
              <a:ea typeface="+mn-ea"/>
              <a:cs typeface="+mn-cs"/>
            </a:rPr>
            <a:t> audits assessment and quality assurance processes across all Approved  Centres</a:t>
          </a:r>
        </a:p>
      </dgm:t>
    </dgm:pt>
    <dgm:pt modelId="{9E514432-2D1C-4977-B5E3-B9387882B932}" type="parTrans" cxnId="{235AC5BB-5C8F-4F8B-90D6-3455B5D4644F}">
      <dgm:prSet/>
      <dgm:spPr/>
      <dgm:t>
        <a:bodyPr/>
        <a:lstStyle/>
        <a:p>
          <a:endParaRPr lang="en-GB"/>
        </a:p>
      </dgm:t>
    </dgm:pt>
    <dgm:pt modelId="{90F7E77F-363F-4FB3-A5AE-FA92C8A36F30}" type="sibTrans" cxnId="{235AC5BB-5C8F-4F8B-90D6-3455B5D4644F}">
      <dgm:prSet/>
      <dgm:spPr/>
      <dgm:t>
        <a:bodyPr/>
        <a:lstStyle/>
        <a:p>
          <a:endParaRPr lang="en-GB"/>
        </a:p>
      </dgm:t>
    </dgm:pt>
    <dgm:pt modelId="{C84E0FF5-3F26-4D02-8E05-D4B1B4217449}" type="pres">
      <dgm:prSet presAssocID="{67132B01-21B4-490E-997C-A9634A287C4C}" presName="composite" presStyleCnt="0">
        <dgm:presLayoutVars>
          <dgm:chMax val="5"/>
          <dgm:dir/>
          <dgm:resizeHandles val="exact"/>
        </dgm:presLayoutVars>
      </dgm:prSet>
      <dgm:spPr/>
    </dgm:pt>
    <dgm:pt modelId="{5EA43D34-8B06-47C7-9A7E-2955F81130C6}" type="pres">
      <dgm:prSet presAssocID="{F6DB2984-1BA2-4CF1-9E0B-E07B98F4A490}" presName="circle1" presStyleLbl="lnNode1" presStyleIdx="0" presStyleCnt="4"/>
      <dgm:spPr>
        <a:xfrm>
          <a:off x="1778327" y="2215277"/>
          <a:ext cx="415288" cy="415288"/>
        </a:xfrm>
        <a:prstGeom prst="ellipse">
          <a:avLst/>
        </a:prstGeom>
        <a:gradFill rotWithShape="0">
          <a:gsLst>
            <a:gs pos="0">
              <a:srgbClr val="4F81BD">
                <a:shade val="50000"/>
                <a:hueOff val="0"/>
                <a:satOff val="0"/>
                <a:lumOff val="0"/>
                <a:alphaOff val="0"/>
                <a:shade val="51000"/>
                <a:satMod val="130000"/>
              </a:srgbClr>
            </a:gs>
            <a:gs pos="80000">
              <a:srgbClr val="4F81BD">
                <a:shade val="50000"/>
                <a:hueOff val="0"/>
                <a:satOff val="0"/>
                <a:lumOff val="0"/>
                <a:alphaOff val="0"/>
                <a:shade val="93000"/>
                <a:satMod val="130000"/>
              </a:srgbClr>
            </a:gs>
            <a:gs pos="100000">
              <a:srgbClr val="4F81BD">
                <a:shade val="5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4F62A25C-2ECF-475A-A167-12B5B30E9276}" type="pres">
      <dgm:prSet presAssocID="{F6DB2984-1BA2-4CF1-9E0B-E07B98F4A490}" presName="text1" presStyleLbl="revTx" presStyleIdx="0" presStyleCnt="4" custScaleX="137669" custLinFactNeighborX="27275" custLinFactNeighborY="0">
        <dgm:presLayoutVars>
          <dgm:bulletEnabled val="1"/>
        </dgm:presLayoutVars>
      </dgm:prSet>
      <dgm:spPr>
        <a:prstGeom prst="rect">
          <a:avLst/>
        </a:prstGeom>
      </dgm:spPr>
    </dgm:pt>
    <dgm:pt modelId="{23CFCE37-2D30-4668-9517-A7BC4547695A}" type="pres">
      <dgm:prSet presAssocID="{F6DB2984-1BA2-4CF1-9E0B-E07B98F4A490}" presName="line1" presStyleLbl="callout" presStyleIdx="0" presStyleCnt="8"/>
      <dgm:spPr>
        <a:xfrm>
          <a:off x="3560871" y="347689"/>
          <a:ext cx="363438"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sp3d z="127000" prstMaterial="matte"/>
      </dgm:spPr>
    </dgm:pt>
    <dgm:pt modelId="{91629DCF-D27A-4F7F-AA4A-D255125B88CB}" type="pres">
      <dgm:prSet presAssocID="{F6DB2984-1BA2-4CF1-9E0B-E07B98F4A490}" presName="d1" presStyleLbl="callout" presStyleIdx="1" presStyleCnt="8"/>
      <dgm:spPr>
        <a:xfrm rot="5400000">
          <a:off x="1733988" y="576655"/>
          <a:ext cx="2054637" cy="1599128"/>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sp3d z="127000" prstMaterial="matte"/>
      </dgm:spPr>
    </dgm:pt>
    <dgm:pt modelId="{8E969C74-7204-4B2F-BFA3-AA99D1AA3A6F}" type="pres">
      <dgm:prSet presAssocID="{E5DD0FAE-8D92-476F-8F42-CB494D5163DC}" presName="circle2" presStyleLbl="lnNode1" presStyleIdx="1" presStyleCnt="4"/>
      <dgm:spPr>
        <a:xfrm>
          <a:off x="1363038" y="1799988"/>
          <a:ext cx="1245866" cy="1245866"/>
        </a:xfrm>
        <a:prstGeom prst="ellipse">
          <a:avLst/>
        </a:prstGeom>
        <a:gradFill rotWithShape="0">
          <a:gsLst>
            <a:gs pos="0">
              <a:srgbClr val="4F81BD">
                <a:shade val="50000"/>
                <a:hueOff val="180719"/>
                <a:satOff val="-3780"/>
                <a:lumOff val="21031"/>
                <a:alphaOff val="0"/>
                <a:shade val="51000"/>
                <a:satMod val="130000"/>
              </a:srgbClr>
            </a:gs>
            <a:gs pos="80000">
              <a:srgbClr val="4F81BD">
                <a:shade val="50000"/>
                <a:hueOff val="180719"/>
                <a:satOff val="-3780"/>
                <a:lumOff val="21031"/>
                <a:alphaOff val="0"/>
                <a:shade val="93000"/>
                <a:satMod val="130000"/>
              </a:srgbClr>
            </a:gs>
            <a:gs pos="100000">
              <a:srgbClr val="4F81BD">
                <a:shade val="50000"/>
                <a:hueOff val="180719"/>
                <a:satOff val="-3780"/>
                <a:lumOff val="21031"/>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16287C81-9D45-44B7-B734-075375476A26}" type="pres">
      <dgm:prSet presAssocID="{E5DD0FAE-8D92-476F-8F42-CB494D5163DC}" presName="text2" presStyleLbl="revTx" presStyleIdx="1" presStyleCnt="4" custScaleX="147827" custLinFactNeighborX="32067" custLinFactNeighborY="-8973">
        <dgm:presLayoutVars>
          <dgm:bulletEnabled val="1"/>
        </dgm:presLayoutVars>
      </dgm:prSet>
      <dgm:spPr>
        <a:prstGeom prst="rect">
          <a:avLst/>
        </a:prstGeom>
      </dgm:spPr>
    </dgm:pt>
    <dgm:pt modelId="{3F7F27FB-8435-4085-BC8D-768950018E2C}" type="pres">
      <dgm:prSet presAssocID="{E5DD0FAE-8D92-476F-8F42-CB494D5163DC}" presName="line2" presStyleLbl="callout" presStyleIdx="2" presStyleCnt="8"/>
      <dgm:spPr>
        <a:xfrm>
          <a:off x="3560871" y="1043067"/>
          <a:ext cx="363438"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sp3d z="127000" prstMaterial="matte"/>
      </dgm:spPr>
    </dgm:pt>
    <dgm:pt modelId="{1E7C1380-C916-48C2-8BD0-74ED8416C7CB}" type="pres">
      <dgm:prSet presAssocID="{E5DD0FAE-8D92-476F-8F42-CB494D5163DC}" presName="d2" presStyleLbl="callout" presStyleIdx="3" presStyleCnt="8"/>
      <dgm:spPr>
        <a:xfrm rot="5400000">
          <a:off x="2089673" y="1260646"/>
          <a:ext cx="1687322" cy="125265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sp3d z="127000" prstMaterial="matte"/>
      </dgm:spPr>
    </dgm:pt>
    <dgm:pt modelId="{1B9597A9-123A-4BFB-AB9A-4F0316568546}" type="pres">
      <dgm:prSet presAssocID="{C7155BFF-38EF-430D-913D-6C877E60D8DF}" presName="circle3" presStyleLbl="lnNode1" presStyleIdx="2" presStyleCnt="4"/>
      <dgm:spPr>
        <a:xfrm>
          <a:off x="947750" y="1384699"/>
          <a:ext cx="2076444" cy="2076444"/>
        </a:xfrm>
        <a:prstGeom prst="ellipse">
          <a:avLst/>
        </a:prstGeom>
        <a:gradFill rotWithShape="0">
          <a:gsLst>
            <a:gs pos="0">
              <a:srgbClr val="4F81BD">
                <a:shade val="50000"/>
                <a:hueOff val="361437"/>
                <a:satOff val="-7560"/>
                <a:lumOff val="42063"/>
                <a:alphaOff val="0"/>
                <a:shade val="51000"/>
                <a:satMod val="130000"/>
              </a:srgbClr>
            </a:gs>
            <a:gs pos="80000">
              <a:srgbClr val="4F81BD">
                <a:shade val="50000"/>
                <a:hueOff val="361437"/>
                <a:satOff val="-7560"/>
                <a:lumOff val="42063"/>
                <a:alphaOff val="0"/>
                <a:shade val="93000"/>
                <a:satMod val="130000"/>
              </a:srgbClr>
            </a:gs>
            <a:gs pos="100000">
              <a:srgbClr val="4F81BD">
                <a:shade val="50000"/>
                <a:hueOff val="361437"/>
                <a:satOff val="-7560"/>
                <a:lumOff val="42063"/>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51E2535B-E5BE-452E-BBEE-64780A6316F5}" type="pres">
      <dgm:prSet presAssocID="{C7155BFF-38EF-430D-913D-6C877E60D8DF}" presName="text3" presStyleLbl="revTx" presStyleIdx="2" presStyleCnt="4" custScaleX="138492" custLinFactNeighborX="29725" custLinFactNeighborY="-10720">
        <dgm:presLayoutVars>
          <dgm:bulletEnabled val="1"/>
        </dgm:presLayoutVars>
      </dgm:prSet>
      <dgm:spPr>
        <a:prstGeom prst="rect">
          <a:avLst/>
        </a:prstGeom>
      </dgm:spPr>
    </dgm:pt>
    <dgm:pt modelId="{A643DD0A-B729-45F4-A9FE-1E22B937BA01}" type="pres">
      <dgm:prSet presAssocID="{C7155BFF-38EF-430D-913D-6C877E60D8DF}" presName="line3" presStyleLbl="callout" presStyleIdx="4" presStyleCnt="8"/>
      <dgm:spPr>
        <a:xfrm>
          <a:off x="3560871" y="1738446"/>
          <a:ext cx="363438"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sp3d z="127000" prstMaterial="matte"/>
      </dgm:spPr>
    </dgm:pt>
    <dgm:pt modelId="{6DC845D2-07B4-453E-9764-A910421B3F1B}" type="pres">
      <dgm:prSet presAssocID="{C7155BFF-38EF-430D-913D-6C877E60D8DF}" presName="d3" presStyleLbl="callout" presStyleIdx="5" presStyleCnt="8"/>
      <dgm:spPr>
        <a:xfrm rot="5400000">
          <a:off x="2433970" y="1898116"/>
          <a:ext cx="1287056" cy="966745"/>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sp3d z="127000" prstMaterial="matte"/>
      </dgm:spPr>
    </dgm:pt>
    <dgm:pt modelId="{BD40DA02-A502-453C-8876-0817DC5715F7}" type="pres">
      <dgm:prSet presAssocID="{48ABBE0E-B3B5-4CA9-BCA9-203229B6738E}" presName="circle4" presStyleLbl="lnNode1" presStyleIdx="3" presStyleCnt="4"/>
      <dgm:spPr>
        <a:xfrm>
          <a:off x="532218" y="969168"/>
          <a:ext cx="2907506" cy="2907506"/>
        </a:xfrm>
        <a:prstGeom prst="ellipse">
          <a:avLst/>
        </a:prstGeom>
        <a:gradFill rotWithShape="0">
          <a:gsLst>
            <a:gs pos="0">
              <a:srgbClr val="4F81BD">
                <a:shade val="50000"/>
                <a:hueOff val="180719"/>
                <a:satOff val="-3780"/>
                <a:lumOff val="21031"/>
                <a:alphaOff val="0"/>
                <a:shade val="51000"/>
                <a:satMod val="130000"/>
              </a:srgbClr>
            </a:gs>
            <a:gs pos="80000">
              <a:srgbClr val="4F81BD">
                <a:shade val="50000"/>
                <a:hueOff val="180719"/>
                <a:satOff val="-3780"/>
                <a:lumOff val="21031"/>
                <a:alphaOff val="0"/>
                <a:shade val="93000"/>
                <a:satMod val="130000"/>
              </a:srgbClr>
            </a:gs>
            <a:gs pos="100000">
              <a:srgbClr val="4F81BD">
                <a:shade val="50000"/>
                <a:hueOff val="180719"/>
                <a:satOff val="-3780"/>
                <a:lumOff val="21031"/>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1C617E18-2E5E-4C93-84BE-8DE8C414A38A}" type="pres">
      <dgm:prSet presAssocID="{48ABBE0E-B3B5-4CA9-BCA9-203229B6738E}" presName="text4" presStyleLbl="revTx" presStyleIdx="3" presStyleCnt="4" custScaleX="142423" custScaleY="151607" custLinFactNeighborX="28829" custLinFactNeighborY="13698">
        <dgm:presLayoutVars>
          <dgm:bulletEnabled val="1"/>
        </dgm:presLayoutVars>
      </dgm:prSet>
      <dgm:spPr>
        <a:prstGeom prst="rect">
          <a:avLst/>
        </a:prstGeom>
      </dgm:spPr>
    </dgm:pt>
    <dgm:pt modelId="{7FE53369-B9D2-440F-A15F-863610AE0965}" type="pres">
      <dgm:prSet presAssocID="{48ABBE0E-B3B5-4CA9-BCA9-203229B6738E}" presName="line4" presStyleLbl="callout" presStyleIdx="6" presStyleCnt="8"/>
      <dgm:spPr>
        <a:xfrm>
          <a:off x="3560871" y="2433825"/>
          <a:ext cx="363438"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sp3d z="127000" prstMaterial="matte"/>
      </dgm:spPr>
    </dgm:pt>
    <dgm:pt modelId="{55463B95-24DB-483F-94B2-6D021A0D293F}" type="pres">
      <dgm:prSet presAssocID="{48ABBE0E-B3B5-4CA9-BCA9-203229B6738E}" presName="d4" presStyleLbl="callout" presStyleIdx="7" presStyleCnt="8"/>
      <dgm:spPr>
        <a:xfrm rot="5400000">
          <a:off x="2779091" y="2538107"/>
          <a:ext cx="884657" cy="67551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sp3d z="127000" prstMaterial="matte"/>
      </dgm:spPr>
    </dgm:pt>
  </dgm:ptLst>
  <dgm:cxnLst>
    <dgm:cxn modelId="{309B6812-F87A-43D0-9C3F-B6BB22E3AA80}" srcId="{67132B01-21B4-490E-997C-A9634A287C4C}" destId="{C7155BFF-38EF-430D-913D-6C877E60D8DF}" srcOrd="2" destOrd="0" parTransId="{2A125D6A-1746-42BF-9C0B-DE5EC9CDECE6}" sibTransId="{4BCDE06F-2087-426A-916E-EBB50C079208}"/>
    <dgm:cxn modelId="{571DCA60-4100-4B22-AFD4-8BEEFB753B3B}" type="presOf" srcId="{E5DD0FAE-8D92-476F-8F42-CB494D5163DC}" destId="{16287C81-9D45-44B7-B734-075375476A26}" srcOrd="0" destOrd="0" presId="urn:microsoft.com/office/officeart/2005/8/layout/target1"/>
    <dgm:cxn modelId="{E5492C4B-3593-4E55-9891-03D1E36D8A1C}" srcId="{67132B01-21B4-490E-997C-A9634A287C4C}" destId="{E5DD0FAE-8D92-476F-8F42-CB494D5163DC}" srcOrd="1" destOrd="0" parTransId="{CF2DD7C8-02BD-44F0-8EEB-2BE78539C10A}" sibTransId="{4A3BF0F0-6FDE-42E6-A280-212B81E34EBB}"/>
    <dgm:cxn modelId="{E4D26952-531D-42AF-BE1F-307A59781ACA}" type="presOf" srcId="{C7155BFF-38EF-430D-913D-6C877E60D8DF}" destId="{51E2535B-E5BE-452E-BBEE-64780A6316F5}" srcOrd="0" destOrd="0" presId="urn:microsoft.com/office/officeart/2005/8/layout/target1"/>
    <dgm:cxn modelId="{235AC5BB-5C8F-4F8B-90D6-3455B5D4644F}" srcId="{67132B01-21B4-490E-997C-A9634A287C4C}" destId="{48ABBE0E-B3B5-4CA9-BCA9-203229B6738E}" srcOrd="3" destOrd="0" parTransId="{9E514432-2D1C-4977-B5E3-B9387882B932}" sibTransId="{90F7E77F-363F-4FB3-A5AE-FA92C8A36F30}"/>
    <dgm:cxn modelId="{6B846DD4-8A01-42A9-813D-4A4244FB3FC6}" type="presOf" srcId="{67132B01-21B4-490E-997C-A9634A287C4C}" destId="{C84E0FF5-3F26-4D02-8E05-D4B1B4217449}" srcOrd="0" destOrd="0" presId="urn:microsoft.com/office/officeart/2005/8/layout/target1"/>
    <dgm:cxn modelId="{617EAED5-5C69-48B9-BA59-6BC9D81460C2}" type="presOf" srcId="{F6DB2984-1BA2-4CF1-9E0B-E07B98F4A490}" destId="{4F62A25C-2ECF-475A-A167-12B5B30E9276}" srcOrd="0" destOrd="0" presId="urn:microsoft.com/office/officeart/2005/8/layout/target1"/>
    <dgm:cxn modelId="{D20B42EA-7A87-4FAF-8F0D-B40205F1F2A5}" srcId="{67132B01-21B4-490E-997C-A9634A287C4C}" destId="{F6DB2984-1BA2-4CF1-9E0B-E07B98F4A490}" srcOrd="0" destOrd="0" parTransId="{A2932B5C-B0A1-4143-B046-71063B9E198D}" sibTransId="{A3291091-E29C-493B-AE0A-36273174685E}"/>
    <dgm:cxn modelId="{224FE2F4-7E39-4CCD-9273-AA8EBA660BBA}" type="presOf" srcId="{48ABBE0E-B3B5-4CA9-BCA9-203229B6738E}" destId="{1C617E18-2E5E-4C93-84BE-8DE8C414A38A}" srcOrd="0" destOrd="0" presId="urn:microsoft.com/office/officeart/2005/8/layout/target1"/>
    <dgm:cxn modelId="{369BEE39-3D57-4A2C-A465-ACB827760C49}" type="presParOf" srcId="{C84E0FF5-3F26-4D02-8E05-D4B1B4217449}" destId="{5EA43D34-8B06-47C7-9A7E-2955F81130C6}" srcOrd="0" destOrd="0" presId="urn:microsoft.com/office/officeart/2005/8/layout/target1"/>
    <dgm:cxn modelId="{33740CA9-9B5E-4A8C-ABCF-7E63E15AEDD3}" type="presParOf" srcId="{C84E0FF5-3F26-4D02-8E05-D4B1B4217449}" destId="{4F62A25C-2ECF-475A-A167-12B5B30E9276}" srcOrd="1" destOrd="0" presId="urn:microsoft.com/office/officeart/2005/8/layout/target1"/>
    <dgm:cxn modelId="{668D18D1-5AF0-4FFA-AD3A-FB00E40A8870}" type="presParOf" srcId="{C84E0FF5-3F26-4D02-8E05-D4B1B4217449}" destId="{23CFCE37-2D30-4668-9517-A7BC4547695A}" srcOrd="2" destOrd="0" presId="urn:microsoft.com/office/officeart/2005/8/layout/target1"/>
    <dgm:cxn modelId="{EB18795F-3306-4A56-9CAB-7FA60FA25F36}" type="presParOf" srcId="{C84E0FF5-3F26-4D02-8E05-D4B1B4217449}" destId="{91629DCF-D27A-4F7F-AA4A-D255125B88CB}" srcOrd="3" destOrd="0" presId="urn:microsoft.com/office/officeart/2005/8/layout/target1"/>
    <dgm:cxn modelId="{A9219CBB-F4A8-4E85-B0A4-A8110BCB6EEE}" type="presParOf" srcId="{C84E0FF5-3F26-4D02-8E05-D4B1B4217449}" destId="{8E969C74-7204-4B2F-BFA3-AA99D1AA3A6F}" srcOrd="4" destOrd="0" presId="urn:microsoft.com/office/officeart/2005/8/layout/target1"/>
    <dgm:cxn modelId="{26FDB16E-14D6-4AF5-A4A4-81DE99B83144}" type="presParOf" srcId="{C84E0FF5-3F26-4D02-8E05-D4B1B4217449}" destId="{16287C81-9D45-44B7-B734-075375476A26}" srcOrd="5" destOrd="0" presId="urn:microsoft.com/office/officeart/2005/8/layout/target1"/>
    <dgm:cxn modelId="{098BFF07-069C-42FE-AB49-E64A3FC64387}" type="presParOf" srcId="{C84E0FF5-3F26-4D02-8E05-D4B1B4217449}" destId="{3F7F27FB-8435-4085-BC8D-768950018E2C}" srcOrd="6" destOrd="0" presId="urn:microsoft.com/office/officeart/2005/8/layout/target1"/>
    <dgm:cxn modelId="{0AF03B76-C2C4-4CEC-BF66-534B545D4CA0}" type="presParOf" srcId="{C84E0FF5-3F26-4D02-8E05-D4B1B4217449}" destId="{1E7C1380-C916-48C2-8BD0-74ED8416C7CB}" srcOrd="7" destOrd="0" presId="urn:microsoft.com/office/officeart/2005/8/layout/target1"/>
    <dgm:cxn modelId="{597B61AB-F3D6-49A0-81A8-09BC1970F58B}" type="presParOf" srcId="{C84E0FF5-3F26-4D02-8E05-D4B1B4217449}" destId="{1B9597A9-123A-4BFB-AB9A-4F0316568546}" srcOrd="8" destOrd="0" presId="urn:microsoft.com/office/officeart/2005/8/layout/target1"/>
    <dgm:cxn modelId="{E2CB0086-F8DC-457B-ABF5-CA108252602B}" type="presParOf" srcId="{C84E0FF5-3F26-4D02-8E05-D4B1B4217449}" destId="{51E2535B-E5BE-452E-BBEE-64780A6316F5}" srcOrd="9" destOrd="0" presId="urn:microsoft.com/office/officeart/2005/8/layout/target1"/>
    <dgm:cxn modelId="{096AB3F7-B7B3-4AC0-A44C-5F58FED0300A}" type="presParOf" srcId="{C84E0FF5-3F26-4D02-8E05-D4B1B4217449}" destId="{A643DD0A-B729-45F4-A9FE-1E22B937BA01}" srcOrd="10" destOrd="0" presId="urn:microsoft.com/office/officeart/2005/8/layout/target1"/>
    <dgm:cxn modelId="{F3E27A7E-F73A-4AD0-92EF-1C58E75C94FF}" type="presParOf" srcId="{C84E0FF5-3F26-4D02-8E05-D4B1B4217449}" destId="{6DC845D2-07B4-453E-9764-A910421B3F1B}" srcOrd="11" destOrd="0" presId="urn:microsoft.com/office/officeart/2005/8/layout/target1"/>
    <dgm:cxn modelId="{CB0E37E5-6422-4D8B-9E89-84F90389CC29}" type="presParOf" srcId="{C84E0FF5-3F26-4D02-8E05-D4B1B4217449}" destId="{BD40DA02-A502-453C-8876-0817DC5715F7}" srcOrd="12" destOrd="0" presId="urn:microsoft.com/office/officeart/2005/8/layout/target1"/>
    <dgm:cxn modelId="{8F271F5A-1FCD-462E-9957-CD766F86B102}" type="presParOf" srcId="{C84E0FF5-3F26-4D02-8E05-D4B1B4217449}" destId="{1C617E18-2E5E-4C93-84BE-8DE8C414A38A}" srcOrd="13" destOrd="0" presId="urn:microsoft.com/office/officeart/2005/8/layout/target1"/>
    <dgm:cxn modelId="{403F49E0-74CD-4DD9-A1B4-6D30F12961DC}" type="presParOf" srcId="{C84E0FF5-3F26-4D02-8E05-D4B1B4217449}" destId="{7FE53369-B9D2-440F-A15F-863610AE0965}" srcOrd="14" destOrd="0" presId="urn:microsoft.com/office/officeart/2005/8/layout/target1"/>
    <dgm:cxn modelId="{F64C264F-2336-4481-BB11-BDC82195D392}" type="presParOf" srcId="{C84E0FF5-3F26-4D02-8E05-D4B1B4217449}" destId="{55463B95-24DB-483F-94B2-6D021A0D293F}" srcOrd="15" destOrd="0" presId="urn:microsoft.com/office/officeart/2005/8/layout/targe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40DA02-A502-453C-8876-0817DC5715F7}">
      <dsp:nvSpPr>
        <dsp:cNvPr id="0" name=""/>
        <dsp:cNvSpPr/>
      </dsp:nvSpPr>
      <dsp:spPr>
        <a:xfrm>
          <a:off x="487639" y="887571"/>
          <a:ext cx="2662713" cy="2662713"/>
        </a:xfrm>
        <a:prstGeom prst="ellipse">
          <a:avLst/>
        </a:prstGeom>
        <a:gradFill rotWithShape="0">
          <a:gsLst>
            <a:gs pos="0">
              <a:srgbClr val="4F81BD">
                <a:shade val="50000"/>
                <a:hueOff val="180719"/>
                <a:satOff val="-3780"/>
                <a:lumOff val="21031"/>
                <a:alphaOff val="0"/>
                <a:shade val="51000"/>
                <a:satMod val="130000"/>
              </a:srgbClr>
            </a:gs>
            <a:gs pos="80000">
              <a:srgbClr val="4F81BD">
                <a:shade val="50000"/>
                <a:hueOff val="180719"/>
                <a:satOff val="-3780"/>
                <a:lumOff val="21031"/>
                <a:alphaOff val="0"/>
                <a:shade val="93000"/>
                <a:satMod val="130000"/>
              </a:srgbClr>
            </a:gs>
            <a:gs pos="100000">
              <a:srgbClr val="4F81BD">
                <a:shade val="50000"/>
                <a:hueOff val="180719"/>
                <a:satOff val="-3780"/>
                <a:lumOff val="21031"/>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B9597A9-123A-4BFB-AB9A-4F0316568546}">
      <dsp:nvSpPr>
        <dsp:cNvPr id="0" name=""/>
        <dsp:cNvSpPr/>
      </dsp:nvSpPr>
      <dsp:spPr>
        <a:xfrm>
          <a:off x="868186" y="1268117"/>
          <a:ext cx="1901621" cy="1901621"/>
        </a:xfrm>
        <a:prstGeom prst="ellipse">
          <a:avLst/>
        </a:prstGeom>
        <a:gradFill rotWithShape="0">
          <a:gsLst>
            <a:gs pos="0">
              <a:srgbClr val="4F81BD">
                <a:shade val="50000"/>
                <a:hueOff val="361437"/>
                <a:satOff val="-7560"/>
                <a:lumOff val="42063"/>
                <a:alphaOff val="0"/>
                <a:shade val="51000"/>
                <a:satMod val="130000"/>
              </a:srgbClr>
            </a:gs>
            <a:gs pos="80000">
              <a:srgbClr val="4F81BD">
                <a:shade val="50000"/>
                <a:hueOff val="361437"/>
                <a:satOff val="-7560"/>
                <a:lumOff val="42063"/>
                <a:alphaOff val="0"/>
                <a:shade val="93000"/>
                <a:satMod val="130000"/>
              </a:srgbClr>
            </a:gs>
            <a:gs pos="100000">
              <a:srgbClr val="4F81BD">
                <a:shade val="50000"/>
                <a:hueOff val="361437"/>
                <a:satOff val="-7560"/>
                <a:lumOff val="42063"/>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E969C74-7204-4B2F-BFA3-AA99D1AA3A6F}">
      <dsp:nvSpPr>
        <dsp:cNvPr id="0" name=""/>
        <dsp:cNvSpPr/>
      </dsp:nvSpPr>
      <dsp:spPr>
        <a:xfrm>
          <a:off x="1248510" y="1648441"/>
          <a:ext cx="1140972" cy="1140972"/>
        </a:xfrm>
        <a:prstGeom prst="ellipse">
          <a:avLst/>
        </a:prstGeom>
        <a:gradFill rotWithShape="0">
          <a:gsLst>
            <a:gs pos="0">
              <a:srgbClr val="4F81BD">
                <a:shade val="50000"/>
                <a:hueOff val="180719"/>
                <a:satOff val="-3780"/>
                <a:lumOff val="21031"/>
                <a:alphaOff val="0"/>
                <a:shade val="51000"/>
                <a:satMod val="130000"/>
              </a:srgbClr>
            </a:gs>
            <a:gs pos="80000">
              <a:srgbClr val="4F81BD">
                <a:shade val="50000"/>
                <a:hueOff val="180719"/>
                <a:satOff val="-3780"/>
                <a:lumOff val="21031"/>
                <a:alphaOff val="0"/>
                <a:shade val="93000"/>
                <a:satMod val="130000"/>
              </a:srgbClr>
            </a:gs>
            <a:gs pos="100000">
              <a:srgbClr val="4F81BD">
                <a:shade val="50000"/>
                <a:hueOff val="180719"/>
                <a:satOff val="-3780"/>
                <a:lumOff val="21031"/>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EA43D34-8B06-47C7-9A7E-2955F81130C6}">
      <dsp:nvSpPr>
        <dsp:cNvPr id="0" name=""/>
        <dsp:cNvSpPr/>
      </dsp:nvSpPr>
      <dsp:spPr>
        <a:xfrm>
          <a:off x="1628834" y="2028765"/>
          <a:ext cx="380324" cy="380324"/>
        </a:xfrm>
        <a:prstGeom prst="ellipse">
          <a:avLst/>
        </a:prstGeom>
        <a:gradFill rotWithShape="0">
          <a:gsLst>
            <a:gs pos="0">
              <a:srgbClr val="4F81BD">
                <a:shade val="50000"/>
                <a:hueOff val="0"/>
                <a:satOff val="0"/>
                <a:lumOff val="0"/>
                <a:alphaOff val="0"/>
                <a:shade val="51000"/>
                <a:satMod val="130000"/>
              </a:srgbClr>
            </a:gs>
            <a:gs pos="80000">
              <a:srgbClr val="4F81BD">
                <a:shade val="50000"/>
                <a:hueOff val="0"/>
                <a:satOff val="0"/>
                <a:lumOff val="0"/>
                <a:alphaOff val="0"/>
                <a:shade val="93000"/>
                <a:satMod val="130000"/>
              </a:srgbClr>
            </a:gs>
            <a:gs pos="100000">
              <a:srgbClr val="4F81BD">
                <a:shade val="5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F62A25C-2ECF-475A-A167-12B5B30E9276}">
      <dsp:nvSpPr>
        <dsp:cNvPr id="0" name=""/>
        <dsp:cNvSpPr/>
      </dsp:nvSpPr>
      <dsp:spPr>
        <a:xfrm>
          <a:off x="3706512" y="0"/>
          <a:ext cx="1832865" cy="63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a:ea typeface="+mn-ea"/>
              <a:cs typeface="+mn-cs"/>
            </a:rPr>
            <a:t>Candidate</a:t>
          </a:r>
          <a:r>
            <a:rPr lang="en-GB" sz="1100" kern="1200">
              <a:solidFill>
                <a:sysClr val="windowText" lastClr="000000">
                  <a:hueOff val="0"/>
                  <a:satOff val="0"/>
                  <a:lumOff val="0"/>
                  <a:alphaOff val="0"/>
                </a:sysClr>
              </a:solidFill>
              <a:latin typeface="Calibri"/>
              <a:ea typeface="+mn-ea"/>
              <a:cs typeface="+mn-cs"/>
            </a:rPr>
            <a:t> must demonstrate competence </a:t>
          </a:r>
        </a:p>
      </dsp:txBody>
      <dsp:txXfrm>
        <a:off x="3706512" y="0"/>
        <a:ext cx="1832865" cy="636832"/>
      </dsp:txXfrm>
    </dsp:sp>
    <dsp:sp modelId="{23CFCE37-2D30-4668-9517-A7BC4547695A}">
      <dsp:nvSpPr>
        <dsp:cNvPr id="0" name=""/>
        <dsp:cNvSpPr/>
      </dsp:nvSpPr>
      <dsp:spPr>
        <a:xfrm>
          <a:off x="3261300" y="318416"/>
          <a:ext cx="332839"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91629DCF-D27A-4F7F-AA4A-D255125B88CB}">
      <dsp:nvSpPr>
        <dsp:cNvPr id="0" name=""/>
        <dsp:cNvSpPr/>
      </dsp:nvSpPr>
      <dsp:spPr>
        <a:xfrm rot="5400000">
          <a:off x="1588228" y="528104"/>
          <a:ext cx="1881651" cy="1464492"/>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16287C81-9D45-44B7-B734-075375476A26}">
      <dsp:nvSpPr>
        <dsp:cNvPr id="0" name=""/>
        <dsp:cNvSpPr/>
      </dsp:nvSpPr>
      <dsp:spPr>
        <a:xfrm>
          <a:off x="3702691" y="579689"/>
          <a:ext cx="1968104" cy="63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a:ea typeface="+mn-ea"/>
              <a:cs typeface="+mn-cs"/>
            </a:rPr>
            <a:t>Assessor </a:t>
          </a:r>
          <a:r>
            <a:rPr lang="en-GB" sz="1100" b="0" kern="1200">
              <a:solidFill>
                <a:sysClr val="windowText" lastClr="000000">
                  <a:hueOff val="0"/>
                  <a:satOff val="0"/>
                  <a:lumOff val="0"/>
                  <a:alphaOff val="0"/>
                </a:sysClr>
              </a:solidFill>
              <a:latin typeface="Calibri"/>
              <a:ea typeface="+mn-ea"/>
              <a:cs typeface="+mn-cs"/>
            </a:rPr>
            <a:t>assesses evidence and </a:t>
          </a:r>
          <a:r>
            <a:rPr lang="en-GB" sz="1100" kern="1200">
              <a:solidFill>
                <a:sysClr val="windowText" lastClr="000000">
                  <a:hueOff val="0"/>
                  <a:satOff val="0"/>
                  <a:lumOff val="0"/>
                  <a:alphaOff val="0"/>
                </a:sysClr>
              </a:solidFill>
              <a:latin typeface="Calibri"/>
              <a:ea typeface="+mn-ea"/>
              <a:cs typeface="+mn-cs"/>
            </a:rPr>
            <a:t>makes judgement on competence of Candidate</a:t>
          </a:r>
        </a:p>
      </dsp:txBody>
      <dsp:txXfrm>
        <a:off x="3702691" y="579689"/>
        <a:ext cx="1968104" cy="636832"/>
      </dsp:txXfrm>
    </dsp:sp>
    <dsp:sp modelId="{3F7F27FB-8435-4085-BC8D-768950018E2C}">
      <dsp:nvSpPr>
        <dsp:cNvPr id="0" name=""/>
        <dsp:cNvSpPr/>
      </dsp:nvSpPr>
      <dsp:spPr>
        <a:xfrm>
          <a:off x="3261300" y="955248"/>
          <a:ext cx="332839"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1E7C1380-C916-48C2-8BD0-74ED8416C7CB}">
      <dsp:nvSpPr>
        <dsp:cNvPr id="0" name=""/>
        <dsp:cNvSpPr/>
      </dsp:nvSpPr>
      <dsp:spPr>
        <a:xfrm rot="5400000">
          <a:off x="1913966" y="1154508"/>
          <a:ext cx="1545261" cy="1147185"/>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51E2535B-E5BE-452E-BBEE-64780A6316F5}">
      <dsp:nvSpPr>
        <dsp:cNvPr id="0" name=""/>
        <dsp:cNvSpPr/>
      </dsp:nvSpPr>
      <dsp:spPr>
        <a:xfrm>
          <a:off x="3733652" y="1205396"/>
          <a:ext cx="1843822" cy="63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a:ea typeface="+mn-ea"/>
              <a:cs typeface="+mn-cs"/>
            </a:rPr>
            <a:t>Internal Verifier </a:t>
          </a:r>
          <a:r>
            <a:rPr lang="en-GB" sz="1100" kern="1200">
              <a:solidFill>
                <a:sysClr val="windowText" lastClr="000000">
                  <a:hueOff val="0"/>
                  <a:satOff val="0"/>
                  <a:lumOff val="0"/>
                  <a:alphaOff val="0"/>
                </a:sysClr>
              </a:solidFill>
              <a:latin typeface="Calibri"/>
              <a:ea typeface="+mn-ea"/>
              <a:cs typeface="+mn-cs"/>
            </a:rPr>
            <a:t>ensures quality and consistency of assessment process</a:t>
          </a:r>
        </a:p>
      </dsp:txBody>
      <dsp:txXfrm>
        <a:off x="3733652" y="1205396"/>
        <a:ext cx="1843822" cy="636832"/>
      </dsp:txXfrm>
    </dsp:sp>
    <dsp:sp modelId="{A643DD0A-B729-45F4-A9FE-1E22B937BA01}">
      <dsp:nvSpPr>
        <dsp:cNvPr id="0" name=""/>
        <dsp:cNvSpPr/>
      </dsp:nvSpPr>
      <dsp:spPr>
        <a:xfrm>
          <a:off x="3261300" y="1592080"/>
          <a:ext cx="332839"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6DC845D2-07B4-453E-9764-A910421B3F1B}">
      <dsp:nvSpPr>
        <dsp:cNvPr id="0" name=""/>
        <dsp:cNvSpPr/>
      </dsp:nvSpPr>
      <dsp:spPr>
        <a:xfrm rot="5400000">
          <a:off x="2229276" y="1738308"/>
          <a:ext cx="1178694" cy="885352"/>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1C617E18-2E5E-4C93-84BE-8DE8C414A38A}">
      <dsp:nvSpPr>
        <dsp:cNvPr id="0" name=""/>
        <dsp:cNvSpPr/>
      </dsp:nvSpPr>
      <dsp:spPr>
        <a:xfrm>
          <a:off x="3695555" y="1833405"/>
          <a:ext cx="1896158" cy="9654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a:ea typeface="+mn-ea"/>
              <a:cs typeface="+mn-cs"/>
            </a:rPr>
            <a:t>Awarding Body/Audit Organisation </a:t>
          </a:r>
          <a:r>
            <a:rPr lang="en-GB" sz="1100" kern="1200">
              <a:solidFill>
                <a:sysClr val="windowText" lastClr="000000">
                  <a:hueOff val="0"/>
                  <a:satOff val="0"/>
                  <a:lumOff val="0"/>
                  <a:alphaOff val="0"/>
                </a:sysClr>
              </a:solidFill>
              <a:latin typeface="Calibri"/>
              <a:ea typeface="+mn-ea"/>
              <a:cs typeface="+mn-cs"/>
            </a:rPr>
            <a:t> audits assessment and quality assurance processes across all Approved  Centres</a:t>
          </a:r>
        </a:p>
      </dsp:txBody>
      <dsp:txXfrm>
        <a:off x="3695555" y="1833405"/>
        <a:ext cx="1896158" cy="965482"/>
      </dsp:txXfrm>
    </dsp:sp>
    <dsp:sp modelId="{7FE53369-B9D2-440F-A15F-863610AE0965}">
      <dsp:nvSpPr>
        <dsp:cNvPr id="0" name=""/>
        <dsp:cNvSpPr/>
      </dsp:nvSpPr>
      <dsp:spPr>
        <a:xfrm>
          <a:off x="3261300" y="2228913"/>
          <a:ext cx="332839"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55463B95-24DB-483F-94B2-6D021A0D293F}">
      <dsp:nvSpPr>
        <dsp:cNvPr id="0" name=""/>
        <dsp:cNvSpPr/>
      </dsp:nvSpPr>
      <dsp:spPr>
        <a:xfrm rot="5400000">
          <a:off x="2545340" y="2324415"/>
          <a:ext cx="810175" cy="618637"/>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75559-BD3C-4FEF-B1E9-EA4254B306DA}">
  <ds:schemaRefs>
    <ds:schemaRef ds:uri="http://schemas.microsoft.com/sharepoint/v3/contenttype/forms"/>
  </ds:schemaRefs>
</ds:datastoreItem>
</file>

<file path=customXml/itemProps2.xml><?xml version="1.0" encoding="utf-8"?>
<ds:datastoreItem xmlns:ds="http://schemas.openxmlformats.org/officeDocument/2006/customXml" ds:itemID="{183FADD6-7FB2-4C79-BFF4-899C31FEBDC3}">
  <ds:schemaRefs>
    <ds:schemaRef ds:uri="http://schemas.microsoft.com/office/2006/documentManagement/types"/>
    <ds:schemaRef ds:uri="http://purl.org/dc/dcmitype/"/>
    <ds:schemaRef ds:uri="b24fd3ba-0a78-406f-a768-509ae3d3efc9"/>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AA067D64-552A-42EE-8B11-4F7429E7BA60}">
  <ds:schemaRefs>
    <ds:schemaRef ds:uri="http://schemas.openxmlformats.org/officeDocument/2006/bibliography"/>
  </ds:schemaRefs>
</ds:datastoreItem>
</file>

<file path=customXml/itemProps4.xml><?xml version="1.0" encoding="utf-8"?>
<ds:datastoreItem xmlns:ds="http://schemas.openxmlformats.org/officeDocument/2006/customXml" ds:itemID="{34280576-68BD-48BC-B15B-0A37A0F1B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6565</Words>
  <Characters>37424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Strategy SVQ Processing Operations Hydrocarbons Control Room SCQF level 7</dc:title>
  <dc:subject/>
  <dc:creator>Peter Aird</dc:creator>
  <cp:keywords/>
  <dc:description/>
  <cp:lastModifiedBy>John Tweedie</cp:lastModifiedBy>
  <cp:revision>3</cp:revision>
  <dcterms:created xsi:type="dcterms:W3CDTF">2025-03-06T09:54:00Z</dcterms:created>
  <dcterms:modified xsi:type="dcterms:W3CDTF">2025-03-06T16:01:00Z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y fmtid="{D5CDD505-2E9C-101B-9397-08002B2CF9AE}" pid="3" name="MediaServiceImageTags">
    <vt:lpwstr/>
  </property>
</Properties>
</file>